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28" w:rsidRPr="00927DBD" w:rsidRDefault="00927DBD" w:rsidP="00882B39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7DBD">
        <w:rPr>
          <w:rFonts w:ascii="Arial" w:hAnsi="Arial" w:cs="Arial"/>
          <w:b/>
          <w:sz w:val="24"/>
          <w:szCs w:val="24"/>
        </w:rPr>
        <w:t>S</w:t>
      </w:r>
      <w:r w:rsidR="00311628" w:rsidRPr="00927DBD">
        <w:rPr>
          <w:rFonts w:ascii="Arial" w:hAnsi="Arial" w:cs="Arial"/>
          <w:b/>
          <w:sz w:val="24"/>
          <w:szCs w:val="24"/>
        </w:rPr>
        <w:t xml:space="preserve">tatement of significant changes to bills </w:t>
      </w:r>
      <w:r w:rsidR="00575539" w:rsidRPr="00927DBD">
        <w:rPr>
          <w:rFonts w:ascii="Arial" w:hAnsi="Arial" w:cs="Arial"/>
          <w:b/>
          <w:sz w:val="24"/>
          <w:szCs w:val="24"/>
        </w:rPr>
        <w:t>20</w:t>
      </w:r>
      <w:r w:rsidR="0021332A" w:rsidRPr="00927DBD">
        <w:rPr>
          <w:rFonts w:ascii="Arial" w:hAnsi="Arial" w:cs="Arial"/>
          <w:b/>
          <w:sz w:val="24"/>
          <w:szCs w:val="24"/>
        </w:rPr>
        <w:t>20/21</w:t>
      </w:r>
    </w:p>
    <w:p w:rsidR="00D92FDB" w:rsidRPr="003C6368" w:rsidRDefault="00D92FDB" w:rsidP="00882B39">
      <w:pPr>
        <w:spacing w:after="0"/>
        <w:rPr>
          <w:rFonts w:ascii="Arial" w:hAnsi="Arial" w:cs="Arial"/>
        </w:rPr>
      </w:pPr>
    </w:p>
    <w:p w:rsidR="00311628" w:rsidRDefault="00311628" w:rsidP="00665D20">
      <w:pPr>
        <w:pStyle w:val="Default"/>
        <w:jc w:val="both"/>
        <w:rPr>
          <w:i/>
          <w:color w:val="auto"/>
          <w:sz w:val="22"/>
          <w:szCs w:val="22"/>
        </w:rPr>
      </w:pPr>
      <w:r w:rsidRPr="006A3D07">
        <w:rPr>
          <w:i/>
          <w:color w:val="auto"/>
          <w:sz w:val="22"/>
          <w:szCs w:val="22"/>
        </w:rPr>
        <w:t xml:space="preserve">The Board </w:t>
      </w:r>
      <w:r w:rsidR="00575539">
        <w:rPr>
          <w:i/>
          <w:color w:val="auto"/>
          <w:sz w:val="22"/>
          <w:szCs w:val="22"/>
        </w:rPr>
        <w:t xml:space="preserve">of Portsmouth Water </w:t>
      </w:r>
      <w:r w:rsidRPr="006A3D07">
        <w:rPr>
          <w:i/>
          <w:color w:val="auto"/>
          <w:sz w:val="22"/>
          <w:szCs w:val="22"/>
        </w:rPr>
        <w:t xml:space="preserve">has assessed the effects </w:t>
      </w:r>
      <w:r w:rsidR="0068258A">
        <w:rPr>
          <w:i/>
          <w:color w:val="auto"/>
          <w:sz w:val="22"/>
          <w:szCs w:val="22"/>
        </w:rPr>
        <w:t>its 20</w:t>
      </w:r>
      <w:r w:rsidR="0021332A">
        <w:rPr>
          <w:i/>
          <w:color w:val="auto"/>
          <w:sz w:val="22"/>
          <w:szCs w:val="22"/>
        </w:rPr>
        <w:t>20</w:t>
      </w:r>
      <w:r w:rsidR="0068258A">
        <w:rPr>
          <w:i/>
          <w:color w:val="auto"/>
          <w:sz w:val="22"/>
          <w:szCs w:val="22"/>
        </w:rPr>
        <w:t>/</w:t>
      </w:r>
      <w:r w:rsidR="00B84B69">
        <w:rPr>
          <w:i/>
          <w:color w:val="auto"/>
          <w:sz w:val="22"/>
          <w:szCs w:val="22"/>
        </w:rPr>
        <w:t>2</w:t>
      </w:r>
      <w:r w:rsidR="0021332A">
        <w:rPr>
          <w:i/>
          <w:color w:val="auto"/>
          <w:sz w:val="22"/>
          <w:szCs w:val="22"/>
        </w:rPr>
        <w:t>1</w:t>
      </w:r>
      <w:r w:rsidR="0068258A">
        <w:rPr>
          <w:i/>
          <w:color w:val="auto"/>
          <w:sz w:val="22"/>
          <w:szCs w:val="22"/>
        </w:rPr>
        <w:t xml:space="preserve"> </w:t>
      </w:r>
      <w:r w:rsidRPr="006A3D07">
        <w:rPr>
          <w:i/>
          <w:color w:val="auto"/>
          <w:sz w:val="22"/>
          <w:szCs w:val="22"/>
        </w:rPr>
        <w:t>charges have on customers’ bills for a range of different customer types.</w:t>
      </w:r>
    </w:p>
    <w:p w:rsidR="000557EB" w:rsidRPr="006A3D07" w:rsidRDefault="000557EB" w:rsidP="00665D20">
      <w:pPr>
        <w:pStyle w:val="Default"/>
        <w:jc w:val="both"/>
        <w:rPr>
          <w:i/>
          <w:color w:val="auto"/>
          <w:sz w:val="22"/>
          <w:szCs w:val="22"/>
        </w:rPr>
      </w:pPr>
    </w:p>
    <w:p w:rsidR="00311628" w:rsidRDefault="00311628" w:rsidP="00665D20">
      <w:pPr>
        <w:pStyle w:val="Default"/>
        <w:jc w:val="both"/>
        <w:rPr>
          <w:i/>
          <w:color w:val="auto"/>
          <w:sz w:val="22"/>
          <w:szCs w:val="22"/>
        </w:rPr>
      </w:pPr>
      <w:r w:rsidRPr="00311628">
        <w:rPr>
          <w:i/>
          <w:color w:val="auto"/>
          <w:sz w:val="22"/>
          <w:szCs w:val="22"/>
        </w:rPr>
        <w:t>The Board can confirm that no group of customers will experience a</w:t>
      </w:r>
      <w:r w:rsidR="00EE0D66">
        <w:rPr>
          <w:i/>
          <w:color w:val="auto"/>
          <w:sz w:val="22"/>
          <w:szCs w:val="22"/>
        </w:rPr>
        <w:t xml:space="preserve">n increase </w:t>
      </w:r>
      <w:r w:rsidRPr="00311628">
        <w:rPr>
          <w:i/>
          <w:color w:val="auto"/>
          <w:sz w:val="22"/>
          <w:szCs w:val="22"/>
        </w:rPr>
        <w:t>in bills</w:t>
      </w:r>
      <w:r w:rsidR="00FC3991">
        <w:rPr>
          <w:i/>
          <w:color w:val="auto"/>
          <w:sz w:val="22"/>
          <w:szCs w:val="22"/>
        </w:rPr>
        <w:t xml:space="preserve"> </w:t>
      </w:r>
      <w:r w:rsidRPr="00311628">
        <w:rPr>
          <w:i/>
          <w:color w:val="auto"/>
          <w:sz w:val="22"/>
          <w:szCs w:val="22"/>
        </w:rPr>
        <w:t>greater than 5% as a result of the proposed price changes. Over 30 groups of customer have been reviewed, including the average in a class and an upper and lower customer in the class a</w:t>
      </w:r>
      <w:r w:rsidR="0053032C">
        <w:rPr>
          <w:i/>
          <w:color w:val="auto"/>
          <w:sz w:val="22"/>
          <w:szCs w:val="22"/>
        </w:rPr>
        <w:t>s required by Ofwat guidelines.</w:t>
      </w:r>
    </w:p>
    <w:p w:rsidR="000557EB" w:rsidRPr="00311628" w:rsidRDefault="000557EB" w:rsidP="00665D20">
      <w:pPr>
        <w:pStyle w:val="Default"/>
        <w:jc w:val="both"/>
        <w:rPr>
          <w:i/>
          <w:color w:val="auto"/>
          <w:sz w:val="22"/>
          <w:szCs w:val="22"/>
        </w:rPr>
      </w:pPr>
    </w:p>
    <w:p w:rsidR="00311628" w:rsidRDefault="005044CE" w:rsidP="00665D20">
      <w:pPr>
        <w:pStyle w:val="Heading2"/>
        <w:numPr>
          <w:ilvl w:val="0"/>
          <w:numId w:val="0"/>
        </w:numPr>
        <w:jc w:val="both"/>
        <w:rPr>
          <w:rFonts w:cs="Arial"/>
          <w:i/>
          <w:sz w:val="22"/>
          <w:szCs w:val="22"/>
        </w:rPr>
      </w:pPr>
      <w:r>
        <w:rPr>
          <w:i/>
          <w:sz w:val="22"/>
          <w:szCs w:val="22"/>
        </w:rPr>
        <w:t>T</w:t>
      </w:r>
      <w:r w:rsidR="00311628" w:rsidRPr="007E4FBF">
        <w:rPr>
          <w:i/>
          <w:sz w:val="22"/>
          <w:szCs w:val="22"/>
        </w:rPr>
        <w:t xml:space="preserve">he </w:t>
      </w:r>
      <w:r w:rsidR="00504618">
        <w:rPr>
          <w:i/>
          <w:sz w:val="22"/>
          <w:szCs w:val="22"/>
        </w:rPr>
        <w:t xml:space="preserve">Final Determination published by Ofwat on 16 December 2019 results in significant reductions in bills </w:t>
      </w:r>
      <w:r>
        <w:rPr>
          <w:i/>
          <w:sz w:val="22"/>
          <w:szCs w:val="22"/>
        </w:rPr>
        <w:t xml:space="preserve">for </w:t>
      </w:r>
      <w:r w:rsidR="00504618">
        <w:rPr>
          <w:i/>
          <w:sz w:val="22"/>
          <w:szCs w:val="22"/>
        </w:rPr>
        <w:t xml:space="preserve">2020/21. Despite the </w:t>
      </w:r>
      <w:r w:rsidR="00311628" w:rsidRPr="007E4FBF">
        <w:rPr>
          <w:i/>
          <w:sz w:val="22"/>
          <w:szCs w:val="22"/>
        </w:rPr>
        <w:t xml:space="preserve">November </w:t>
      </w:r>
      <w:r w:rsidR="00D931B9">
        <w:rPr>
          <w:i/>
          <w:sz w:val="22"/>
          <w:szCs w:val="22"/>
        </w:rPr>
        <w:t>201</w:t>
      </w:r>
      <w:r w:rsidR="0021332A">
        <w:rPr>
          <w:i/>
          <w:sz w:val="22"/>
          <w:szCs w:val="22"/>
        </w:rPr>
        <w:t>9</w:t>
      </w:r>
      <w:r w:rsidR="00D931B9">
        <w:rPr>
          <w:i/>
          <w:sz w:val="22"/>
          <w:szCs w:val="22"/>
        </w:rPr>
        <w:t xml:space="preserve"> </w:t>
      </w:r>
      <w:r w:rsidR="0021332A">
        <w:rPr>
          <w:i/>
          <w:sz w:val="22"/>
          <w:szCs w:val="22"/>
        </w:rPr>
        <w:t xml:space="preserve">Consumer </w:t>
      </w:r>
      <w:r w:rsidR="00311628" w:rsidRPr="007E4FBF">
        <w:rPr>
          <w:i/>
          <w:sz w:val="22"/>
          <w:szCs w:val="22"/>
        </w:rPr>
        <w:t xml:space="preserve">Price Index </w:t>
      </w:r>
      <w:r w:rsidR="00D931B9">
        <w:rPr>
          <w:i/>
          <w:sz w:val="22"/>
          <w:szCs w:val="22"/>
        </w:rPr>
        <w:t xml:space="preserve">implying </w:t>
      </w:r>
      <w:r w:rsidR="00311628" w:rsidRPr="007E4FBF">
        <w:rPr>
          <w:i/>
          <w:sz w:val="22"/>
          <w:szCs w:val="22"/>
        </w:rPr>
        <w:t>an inflation rate of</w:t>
      </w:r>
      <w:r w:rsidR="00740946">
        <w:rPr>
          <w:i/>
          <w:sz w:val="22"/>
          <w:szCs w:val="22"/>
        </w:rPr>
        <w:t xml:space="preserve"> </w:t>
      </w:r>
      <w:r w:rsidR="0021332A">
        <w:rPr>
          <w:i/>
          <w:sz w:val="22"/>
          <w:szCs w:val="22"/>
        </w:rPr>
        <w:t>1.5</w:t>
      </w:r>
      <w:r w:rsidR="00311628" w:rsidRPr="007E4FBF">
        <w:rPr>
          <w:i/>
          <w:sz w:val="22"/>
          <w:szCs w:val="22"/>
        </w:rPr>
        <w:t xml:space="preserve">% </w:t>
      </w:r>
      <w:r w:rsidR="00504618">
        <w:rPr>
          <w:i/>
          <w:sz w:val="22"/>
          <w:szCs w:val="22"/>
        </w:rPr>
        <w:t>all customers wil</w:t>
      </w:r>
      <w:r>
        <w:rPr>
          <w:i/>
          <w:sz w:val="22"/>
          <w:szCs w:val="22"/>
        </w:rPr>
        <w:t>l</w:t>
      </w:r>
      <w:r w:rsidR="00504618">
        <w:rPr>
          <w:i/>
          <w:sz w:val="22"/>
          <w:szCs w:val="22"/>
        </w:rPr>
        <w:t xml:space="preserve"> see a price reduction of at least</w:t>
      </w:r>
      <w:r>
        <w:rPr>
          <w:i/>
          <w:sz w:val="22"/>
          <w:szCs w:val="22"/>
        </w:rPr>
        <w:t xml:space="preserve"> </w:t>
      </w:r>
      <w:r w:rsidR="00C26FEC">
        <w:rPr>
          <w:i/>
          <w:sz w:val="22"/>
          <w:szCs w:val="22"/>
        </w:rPr>
        <w:t>4</w:t>
      </w:r>
      <w:r w:rsidR="00504618">
        <w:rPr>
          <w:i/>
          <w:sz w:val="22"/>
          <w:szCs w:val="22"/>
        </w:rPr>
        <w:t>%</w:t>
      </w:r>
      <w:r w:rsidR="00C26FEC">
        <w:rPr>
          <w:i/>
          <w:sz w:val="22"/>
          <w:szCs w:val="22"/>
        </w:rPr>
        <w:t>.</w:t>
      </w:r>
      <w:r w:rsidR="00504618">
        <w:rPr>
          <w:i/>
          <w:sz w:val="22"/>
          <w:szCs w:val="22"/>
        </w:rPr>
        <w:t xml:space="preserve"> </w:t>
      </w:r>
    </w:p>
    <w:p w:rsidR="00882B39" w:rsidRDefault="00882B39" w:rsidP="00665D20">
      <w:pPr>
        <w:spacing w:after="0"/>
        <w:jc w:val="both"/>
        <w:rPr>
          <w:i/>
        </w:rPr>
      </w:pPr>
    </w:p>
    <w:p w:rsidR="00882B39" w:rsidRDefault="00E660C1" w:rsidP="00665D2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882B39">
        <w:rPr>
          <w:rFonts w:ascii="Arial" w:hAnsi="Arial" w:cs="Arial"/>
          <w:i/>
        </w:rPr>
        <w:t xml:space="preserve">able </w:t>
      </w:r>
      <w:r>
        <w:rPr>
          <w:rFonts w:ascii="Arial" w:hAnsi="Arial" w:cs="Arial"/>
          <w:i/>
        </w:rPr>
        <w:t xml:space="preserve">1 </w:t>
      </w:r>
      <w:r w:rsidR="00882B39">
        <w:rPr>
          <w:rFonts w:ascii="Arial" w:hAnsi="Arial" w:cs="Arial"/>
          <w:i/>
        </w:rPr>
        <w:t>below shows the impact of the price changes on our household customers.  We have selected 1</w:t>
      </w:r>
      <w:r w:rsidR="00D92FDB">
        <w:rPr>
          <w:rFonts w:ascii="Arial" w:hAnsi="Arial" w:cs="Arial"/>
          <w:i/>
        </w:rPr>
        <w:t>5</w:t>
      </w:r>
      <w:r w:rsidR="00882B39">
        <w:rPr>
          <w:rFonts w:ascii="Arial" w:hAnsi="Arial" w:cs="Arial"/>
          <w:i/>
        </w:rPr>
        <w:t xml:space="preserve"> “typical” customers to illustrate how the price changes affect different customers.  </w:t>
      </w:r>
      <w:r w:rsidR="00E518A4" w:rsidRPr="00C26FEC">
        <w:rPr>
          <w:rFonts w:ascii="Arial" w:hAnsi="Arial" w:cs="Arial"/>
          <w:i/>
        </w:rPr>
        <w:t xml:space="preserve">The range of price </w:t>
      </w:r>
      <w:r w:rsidR="00A40B65" w:rsidRPr="00C26FEC">
        <w:rPr>
          <w:rFonts w:ascii="Arial" w:hAnsi="Arial" w:cs="Arial"/>
          <w:i/>
        </w:rPr>
        <w:t xml:space="preserve">reductions </w:t>
      </w:r>
      <w:r w:rsidR="00EE0D66">
        <w:rPr>
          <w:rFonts w:ascii="Arial" w:hAnsi="Arial" w:cs="Arial"/>
          <w:i/>
        </w:rPr>
        <w:t xml:space="preserve">is </w:t>
      </w:r>
      <w:r w:rsidR="00E518A4" w:rsidRPr="00C26FEC">
        <w:rPr>
          <w:rFonts w:ascii="Arial" w:hAnsi="Arial" w:cs="Arial"/>
          <w:i/>
        </w:rPr>
        <w:t xml:space="preserve">from </w:t>
      </w:r>
      <w:r w:rsidR="00A40B65" w:rsidRPr="00C26FEC">
        <w:rPr>
          <w:rFonts w:ascii="Arial" w:hAnsi="Arial" w:cs="Arial"/>
          <w:i/>
        </w:rPr>
        <w:t>6.0</w:t>
      </w:r>
      <w:r w:rsidR="00E518A4" w:rsidRPr="00C26FEC">
        <w:rPr>
          <w:rFonts w:ascii="Arial" w:hAnsi="Arial" w:cs="Arial"/>
          <w:i/>
        </w:rPr>
        <w:t xml:space="preserve">% - </w:t>
      </w:r>
      <w:r w:rsidR="00A40B65" w:rsidRPr="00C26FEC">
        <w:rPr>
          <w:rFonts w:ascii="Arial" w:hAnsi="Arial" w:cs="Arial"/>
          <w:i/>
        </w:rPr>
        <w:t>9.6</w:t>
      </w:r>
      <w:r w:rsidR="00E518A4" w:rsidRPr="00C26FEC">
        <w:rPr>
          <w:rFonts w:ascii="Arial" w:hAnsi="Arial" w:cs="Arial"/>
          <w:i/>
        </w:rPr>
        <w:t>%.</w:t>
      </w:r>
    </w:p>
    <w:p w:rsidR="00882B39" w:rsidRDefault="00882B39" w:rsidP="00665D20">
      <w:pPr>
        <w:spacing w:after="0"/>
        <w:jc w:val="both"/>
        <w:rPr>
          <w:rFonts w:ascii="Arial" w:hAnsi="Arial" w:cs="Arial"/>
          <w:i/>
        </w:rPr>
      </w:pPr>
    </w:p>
    <w:p w:rsidR="00882B39" w:rsidRDefault="00882B39" w:rsidP="00665D2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first 7 </w:t>
      </w:r>
      <w:r w:rsidR="00E518A4">
        <w:rPr>
          <w:rFonts w:ascii="Arial" w:hAnsi="Arial" w:cs="Arial"/>
          <w:i/>
        </w:rPr>
        <w:t xml:space="preserve">illustrations </w:t>
      </w:r>
      <w:r>
        <w:rPr>
          <w:rFonts w:ascii="Arial" w:hAnsi="Arial" w:cs="Arial"/>
          <w:i/>
        </w:rPr>
        <w:t>listed relate to customers without a meter.</w:t>
      </w:r>
      <w:r w:rsidR="00D92FDB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They may pay in relation to the rateable value of their property, a fixed licence charge (typically for properties built between 1990 and 2005), a minimum charge (where the rateable value is below £135) </w:t>
      </w:r>
      <w:r w:rsidR="00D92FDB">
        <w:rPr>
          <w:rFonts w:ascii="Arial" w:hAnsi="Arial" w:cs="Arial"/>
          <w:i/>
        </w:rPr>
        <w:t xml:space="preserve">or </w:t>
      </w:r>
      <w:r>
        <w:rPr>
          <w:rFonts w:ascii="Arial" w:hAnsi="Arial" w:cs="Arial"/>
          <w:i/>
        </w:rPr>
        <w:t xml:space="preserve">assessed charges where meters cannot be installed for customers. </w:t>
      </w:r>
    </w:p>
    <w:p w:rsidR="00882B39" w:rsidRDefault="00882B39" w:rsidP="00665D20">
      <w:pPr>
        <w:spacing w:after="0"/>
        <w:jc w:val="both"/>
        <w:rPr>
          <w:rFonts w:ascii="Arial" w:hAnsi="Arial" w:cs="Arial"/>
          <w:i/>
        </w:rPr>
      </w:pPr>
    </w:p>
    <w:p w:rsidR="00B84B69" w:rsidRDefault="00882B39" w:rsidP="00665D2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customers with a meter we have selected a low metered user, equating to 50 m3 per annum, an average user at 90</w:t>
      </w:r>
      <w:r w:rsidR="00D92FDB">
        <w:rPr>
          <w:rFonts w:ascii="Arial" w:hAnsi="Arial" w:cs="Arial"/>
          <w:i/>
        </w:rPr>
        <w:t xml:space="preserve"> m</w:t>
      </w:r>
      <w:r>
        <w:rPr>
          <w:rFonts w:ascii="Arial" w:hAnsi="Arial" w:cs="Arial"/>
          <w:i/>
        </w:rPr>
        <w:t>3 and a high user at 150</w:t>
      </w:r>
      <w:r w:rsidR="00D92FD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m3 per annum.</w:t>
      </w:r>
      <w:r w:rsidR="00D92FDB">
        <w:rPr>
          <w:rFonts w:ascii="Arial" w:hAnsi="Arial" w:cs="Arial"/>
          <w:i/>
        </w:rPr>
        <w:t xml:space="preserve">  </w:t>
      </w:r>
      <w:r w:rsidR="009226F6">
        <w:rPr>
          <w:rFonts w:ascii="Arial" w:hAnsi="Arial" w:cs="Arial"/>
          <w:i/>
        </w:rPr>
        <w:t xml:space="preserve">Further we differentiate by size of the supply.  </w:t>
      </w:r>
      <w:r w:rsidR="00D92FDB">
        <w:rPr>
          <w:rFonts w:ascii="Arial" w:hAnsi="Arial" w:cs="Arial"/>
          <w:i/>
        </w:rPr>
        <w:t>Finally we show how the WaterSure and Social Tariffs will change in the year.</w:t>
      </w:r>
      <w:r w:rsidR="00E518A4">
        <w:rPr>
          <w:rFonts w:ascii="Arial" w:hAnsi="Arial" w:cs="Arial"/>
          <w:i/>
        </w:rPr>
        <w:t xml:space="preserve">  The</w:t>
      </w:r>
      <w:r w:rsidR="009226F6">
        <w:rPr>
          <w:rFonts w:ascii="Arial" w:hAnsi="Arial" w:cs="Arial"/>
          <w:i/>
        </w:rPr>
        <w:t xml:space="preserve"> impact of the proposed tariffs are shown in lines 8 – 15 respectively.</w:t>
      </w:r>
    </w:p>
    <w:p w:rsidR="008322B6" w:rsidRDefault="008322B6" w:rsidP="000557EB">
      <w:pPr>
        <w:pStyle w:val="Heading2"/>
        <w:numPr>
          <w:ilvl w:val="0"/>
          <w:numId w:val="0"/>
        </w:numPr>
        <w:jc w:val="both"/>
        <w:rPr>
          <w:rFonts w:cs="Arial"/>
          <w:b/>
          <w:i/>
          <w:sz w:val="22"/>
          <w:szCs w:val="22"/>
        </w:rPr>
      </w:pPr>
    </w:p>
    <w:p w:rsidR="0053032C" w:rsidRPr="00D92FDB" w:rsidRDefault="00D92FDB" w:rsidP="000557EB">
      <w:pPr>
        <w:pStyle w:val="Heading2"/>
        <w:numPr>
          <w:ilvl w:val="0"/>
          <w:numId w:val="0"/>
        </w:num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Table 1 - </w:t>
      </w:r>
      <w:r w:rsidRPr="00D92FDB">
        <w:rPr>
          <w:rFonts w:cs="Arial"/>
          <w:b/>
          <w:i/>
          <w:sz w:val="22"/>
          <w:szCs w:val="22"/>
        </w:rPr>
        <w:t xml:space="preserve">Household Bills </w:t>
      </w:r>
    </w:p>
    <w:tbl>
      <w:tblPr>
        <w:tblpPr w:leftFromText="180" w:rightFromText="180" w:vertAnchor="text" w:tblpXSpec="center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440"/>
        <w:gridCol w:w="3808"/>
        <w:gridCol w:w="1106"/>
        <w:gridCol w:w="1106"/>
        <w:gridCol w:w="1473"/>
        <w:gridCol w:w="1276"/>
      </w:tblGrid>
      <w:tr w:rsidR="0021332A" w:rsidRPr="0053032C" w:rsidTr="005044CE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2A" w:rsidRPr="00504618" w:rsidRDefault="0021332A" w:rsidP="005046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2A" w:rsidRPr="00504618" w:rsidRDefault="0021332A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21332A" w:rsidRPr="00504618" w:rsidRDefault="0021332A" w:rsidP="0050461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0461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2019/20 (£)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504618" w:rsidRPr="00504618" w:rsidRDefault="00504618" w:rsidP="005046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2020/21</w:t>
            </w:r>
          </w:p>
          <w:p w:rsidR="0021332A" w:rsidRPr="00504618" w:rsidRDefault="00504618" w:rsidP="005046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332A" w:rsidRPr="00504618" w:rsidRDefault="0021332A" w:rsidP="005046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Variance (£)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332A" w:rsidRPr="00504618" w:rsidRDefault="0021332A" w:rsidP="005046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Variance (%)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Unmeasured RV £150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87.25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4CE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79.60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- 7.66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-8.8%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Unmeasured RV £220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115.80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105.04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="005044CE"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10.76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-9.3%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Unmeasured RV £300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148.43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134.12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r w:rsidR="005044CE"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4.31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-9.6%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Licence Charge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115.80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105.04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- 10.76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-9.3%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Minimum Charge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81.14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74.58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- 6.56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-8.1%</w:t>
            </w:r>
          </w:p>
        </w:tc>
      </w:tr>
      <w:tr w:rsidR="00504618" w:rsidRPr="0053032C" w:rsidTr="005044C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Assessed Charge (one person)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70.79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65.15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- 5.65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-8.0%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Assessed Charge (other)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98.20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92.33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- 5.87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-6.0%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 User Measured 0.5" meter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67.20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61.51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- 5.69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-8.5%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Average User Measured 0.5" meter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97.40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90.08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- 7.33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-7.5%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User Measured 0.5" meter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142.70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4CE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04618"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32.92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- 9.78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-6.9%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18" w:rsidRPr="00504618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 User Measured 0.75" meter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79.12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72.54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- 6.58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-8.3%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618" w:rsidRPr="0017516C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18" w:rsidRPr="0017516C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Average User Measured 0.75" meter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101.77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93.96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- 7.81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-7.7%</w:t>
            </w:r>
          </w:p>
        </w:tc>
      </w:tr>
      <w:tr w:rsidR="00504618" w:rsidRPr="0053032C" w:rsidTr="005044C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618" w:rsidRPr="0017516C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18" w:rsidRPr="0017516C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User Measured 0.75 meter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124.42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4CE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04618"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- 9.04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-7.3%</w:t>
            </w:r>
          </w:p>
        </w:tc>
      </w:tr>
      <w:tr w:rsidR="00504618" w:rsidRPr="0053032C" w:rsidTr="005044C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618" w:rsidRPr="0017516C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18" w:rsidRPr="0017516C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Watersure Tariff (metered only)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04618" w:rsidRPr="005044CE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044CE">
              <w:rPr>
                <w:rFonts w:ascii="Arial" w:hAnsi="Arial" w:cs="Arial"/>
                <w:sz w:val="20"/>
                <w:szCs w:val="20"/>
                <w:lang w:eastAsia="en-GB"/>
              </w:rPr>
              <w:t>105.34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98.70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04618" w:rsidRPr="005044CE" w:rsidRDefault="00504618" w:rsidP="0050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- 6.64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04618" w:rsidRPr="005044CE" w:rsidRDefault="00504618" w:rsidP="00504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-6.3%</w:t>
            </w:r>
          </w:p>
        </w:tc>
      </w:tr>
      <w:tr w:rsidR="00504618" w:rsidRPr="0053032C" w:rsidTr="005044C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618" w:rsidRPr="0017516C" w:rsidRDefault="00504618" w:rsidP="0050461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618" w:rsidRPr="0017516C" w:rsidRDefault="00504618" w:rsidP="005046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51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Tariff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17516C" w:rsidRDefault="00504618" w:rsidP="005046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7516C">
              <w:rPr>
                <w:rFonts w:ascii="Arial" w:hAnsi="Arial" w:cs="Arial"/>
                <w:sz w:val="20"/>
                <w:szCs w:val="20"/>
                <w:lang w:eastAsia="en-GB"/>
              </w:rPr>
              <w:t>81.14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04618" w:rsidRPr="00504618" w:rsidRDefault="00504618" w:rsidP="00EE0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  <w:r w:rsidR="00EE0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 w:rsidR="00EE0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618" w:rsidRDefault="00504618" w:rsidP="00EE0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r w:rsidR="00EE0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6.56</w:t>
            </w: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04618" w:rsidRPr="00504618" w:rsidRDefault="00504618" w:rsidP="00EE0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-8.</w:t>
            </w:r>
            <w:r w:rsidR="00EE0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504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</w:tbl>
    <w:p w:rsidR="005044CE" w:rsidRDefault="00E518A4" w:rsidP="00927DB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T</w:t>
      </w:r>
      <w:r w:rsidR="00E660C1">
        <w:rPr>
          <w:rFonts w:ascii="Arial" w:hAnsi="Arial" w:cs="Arial"/>
          <w:i/>
        </w:rPr>
        <w:t xml:space="preserve">able 2 below shows the impact of the price changes </w:t>
      </w:r>
      <w:r w:rsidR="00927DBD">
        <w:rPr>
          <w:rFonts w:ascii="Arial" w:hAnsi="Arial" w:cs="Arial"/>
          <w:i/>
        </w:rPr>
        <w:t xml:space="preserve">of our wholesale charges only for </w:t>
      </w:r>
      <w:r w:rsidR="00E660C1">
        <w:rPr>
          <w:rFonts w:ascii="Arial" w:hAnsi="Arial" w:cs="Arial"/>
          <w:i/>
        </w:rPr>
        <w:t xml:space="preserve">our </w:t>
      </w:r>
      <w:r w:rsidR="002E010E">
        <w:rPr>
          <w:rFonts w:ascii="Arial" w:hAnsi="Arial" w:cs="Arial"/>
          <w:i/>
        </w:rPr>
        <w:t xml:space="preserve">water </w:t>
      </w:r>
      <w:r w:rsidR="00927DBD">
        <w:rPr>
          <w:rFonts w:ascii="Arial" w:hAnsi="Arial" w:cs="Arial"/>
          <w:i/>
        </w:rPr>
        <w:t>services to retailers</w:t>
      </w:r>
      <w:r w:rsidR="00E660C1">
        <w:rPr>
          <w:rFonts w:ascii="Arial" w:hAnsi="Arial" w:cs="Arial"/>
          <w:i/>
        </w:rPr>
        <w:t>.</w:t>
      </w:r>
      <w:r w:rsidR="00927DBD">
        <w:rPr>
          <w:rFonts w:ascii="Arial" w:hAnsi="Arial" w:cs="Arial"/>
          <w:i/>
        </w:rPr>
        <w:t xml:space="preserve">  T</w:t>
      </w:r>
      <w:r w:rsidR="00E660C1" w:rsidRPr="00A70443">
        <w:rPr>
          <w:rFonts w:ascii="Arial" w:hAnsi="Arial" w:cs="Arial"/>
          <w:i/>
        </w:rPr>
        <w:t xml:space="preserve">he Company is no longer a retailer to </w:t>
      </w:r>
      <w:r w:rsidR="002E010E">
        <w:rPr>
          <w:rFonts w:ascii="Arial" w:hAnsi="Arial" w:cs="Arial"/>
          <w:i/>
        </w:rPr>
        <w:t>n</w:t>
      </w:r>
      <w:r w:rsidR="00927DBD">
        <w:rPr>
          <w:rFonts w:ascii="Arial" w:hAnsi="Arial" w:cs="Arial"/>
          <w:i/>
        </w:rPr>
        <w:t xml:space="preserve">on-household </w:t>
      </w:r>
      <w:r w:rsidR="00E660C1" w:rsidRPr="00A70443">
        <w:rPr>
          <w:rFonts w:ascii="Arial" w:hAnsi="Arial" w:cs="Arial"/>
          <w:i/>
        </w:rPr>
        <w:t>customers</w:t>
      </w:r>
      <w:r w:rsidR="00927DBD">
        <w:rPr>
          <w:rFonts w:ascii="Arial" w:hAnsi="Arial" w:cs="Arial"/>
          <w:i/>
        </w:rPr>
        <w:t xml:space="preserve"> and therefore we do not raise retail charges. </w:t>
      </w:r>
    </w:p>
    <w:p w:rsidR="00927DBD" w:rsidRDefault="00927DBD" w:rsidP="00665D20">
      <w:pPr>
        <w:spacing w:after="0"/>
        <w:jc w:val="both"/>
        <w:rPr>
          <w:rFonts w:ascii="Arial" w:hAnsi="Arial" w:cs="Arial"/>
          <w:i/>
        </w:rPr>
      </w:pPr>
    </w:p>
    <w:p w:rsidR="00B00E98" w:rsidRDefault="00E660C1" w:rsidP="00665D2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 have selected 1</w:t>
      </w:r>
      <w:r w:rsidR="00A63C6F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 “typical” </w:t>
      </w:r>
      <w:r w:rsidR="00B00E98">
        <w:rPr>
          <w:rFonts w:ascii="Arial" w:hAnsi="Arial" w:cs="Arial"/>
          <w:i/>
        </w:rPr>
        <w:t xml:space="preserve">non-household </w:t>
      </w:r>
      <w:r>
        <w:rPr>
          <w:rFonts w:ascii="Arial" w:hAnsi="Arial" w:cs="Arial"/>
          <w:i/>
        </w:rPr>
        <w:t xml:space="preserve">customers to illustrate how the price changes </w:t>
      </w:r>
      <w:r w:rsidRPr="00A63C6F">
        <w:rPr>
          <w:rFonts w:ascii="Arial" w:hAnsi="Arial" w:cs="Arial"/>
          <w:i/>
        </w:rPr>
        <w:t xml:space="preserve">affect different customers.  </w:t>
      </w:r>
      <w:r w:rsidR="00B00E98" w:rsidRPr="00A63C6F">
        <w:rPr>
          <w:rFonts w:ascii="Arial" w:hAnsi="Arial" w:cs="Arial"/>
          <w:i/>
        </w:rPr>
        <w:t xml:space="preserve">The range of price </w:t>
      </w:r>
      <w:r w:rsidR="00F52172" w:rsidRPr="00A63C6F">
        <w:rPr>
          <w:rFonts w:ascii="Arial" w:hAnsi="Arial" w:cs="Arial"/>
          <w:i/>
        </w:rPr>
        <w:t xml:space="preserve">reduction </w:t>
      </w:r>
      <w:r w:rsidR="00B00E98" w:rsidRPr="00A63C6F">
        <w:rPr>
          <w:rFonts w:ascii="Arial" w:hAnsi="Arial" w:cs="Arial"/>
          <w:i/>
        </w:rPr>
        <w:t xml:space="preserve">is from </w:t>
      </w:r>
      <w:r w:rsidR="00A63C6F" w:rsidRPr="00A63C6F">
        <w:rPr>
          <w:rFonts w:ascii="Arial" w:hAnsi="Arial" w:cs="Arial"/>
          <w:i/>
        </w:rPr>
        <w:t>4.2</w:t>
      </w:r>
      <w:r w:rsidR="00B00E98" w:rsidRPr="00A63C6F">
        <w:rPr>
          <w:rFonts w:ascii="Arial" w:hAnsi="Arial" w:cs="Arial"/>
          <w:i/>
        </w:rPr>
        <w:t xml:space="preserve">% - </w:t>
      </w:r>
      <w:r w:rsidR="00A63C6F" w:rsidRPr="00A63C6F">
        <w:rPr>
          <w:rFonts w:ascii="Arial" w:hAnsi="Arial" w:cs="Arial"/>
          <w:i/>
        </w:rPr>
        <w:t>10.7%</w:t>
      </w:r>
      <w:r w:rsidR="003D0DCF">
        <w:rPr>
          <w:rFonts w:ascii="Arial" w:hAnsi="Arial" w:cs="Arial"/>
          <w:i/>
        </w:rPr>
        <w:t>.</w:t>
      </w:r>
    </w:p>
    <w:p w:rsidR="00E660C1" w:rsidRDefault="00E660C1" w:rsidP="00665D20">
      <w:pPr>
        <w:spacing w:after="0"/>
        <w:jc w:val="both"/>
        <w:rPr>
          <w:rFonts w:ascii="Arial" w:hAnsi="Arial" w:cs="Arial"/>
          <w:i/>
        </w:rPr>
      </w:pPr>
    </w:p>
    <w:p w:rsidR="00E518A4" w:rsidRDefault="00E518A4" w:rsidP="00665D2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first 5</w:t>
      </w:r>
      <w:r w:rsidR="00E660C1">
        <w:rPr>
          <w:rFonts w:ascii="Arial" w:hAnsi="Arial" w:cs="Arial"/>
          <w:i/>
        </w:rPr>
        <w:t xml:space="preserve"> listed relate to customers without a meter.  They may pay in relation to the rateable value of their property, a fixed licence charge (typically for properties built between 1990 and 2005) </w:t>
      </w:r>
      <w:r>
        <w:rPr>
          <w:rFonts w:ascii="Arial" w:hAnsi="Arial" w:cs="Arial"/>
          <w:i/>
        </w:rPr>
        <w:t xml:space="preserve">or </w:t>
      </w:r>
      <w:r w:rsidR="00E660C1">
        <w:rPr>
          <w:rFonts w:ascii="Arial" w:hAnsi="Arial" w:cs="Arial"/>
          <w:i/>
        </w:rPr>
        <w:t>a minimum charge (where the rateable value is below £135)</w:t>
      </w:r>
      <w:r>
        <w:rPr>
          <w:rFonts w:ascii="Arial" w:hAnsi="Arial" w:cs="Arial"/>
          <w:i/>
        </w:rPr>
        <w:t>.</w:t>
      </w:r>
    </w:p>
    <w:p w:rsidR="00E660C1" w:rsidRDefault="00E660C1" w:rsidP="00665D2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E518A4" w:rsidRDefault="00E660C1" w:rsidP="00665D2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 customers with a meter we have </w:t>
      </w:r>
      <w:r w:rsidR="00E518A4">
        <w:rPr>
          <w:rFonts w:ascii="Arial" w:hAnsi="Arial" w:cs="Arial"/>
          <w:i/>
        </w:rPr>
        <w:t>three different consumption charges relating to the total volume of water taken in the year.  The three charges are for those using less than 10,000m3 (10Ml) per annum</w:t>
      </w:r>
      <w:r w:rsidR="00B00E98">
        <w:rPr>
          <w:rFonts w:ascii="Arial" w:hAnsi="Arial" w:cs="Arial"/>
          <w:i/>
        </w:rPr>
        <w:t xml:space="preserve"> (lines 6-</w:t>
      </w:r>
      <w:r w:rsidR="0061505F">
        <w:rPr>
          <w:rFonts w:ascii="Arial" w:hAnsi="Arial" w:cs="Arial"/>
          <w:i/>
        </w:rPr>
        <w:t>10</w:t>
      </w:r>
      <w:r w:rsidR="00B00E98">
        <w:rPr>
          <w:rFonts w:ascii="Arial" w:hAnsi="Arial" w:cs="Arial"/>
          <w:i/>
        </w:rPr>
        <w:t>)</w:t>
      </w:r>
      <w:r w:rsidR="00E518A4">
        <w:rPr>
          <w:rFonts w:ascii="Arial" w:hAnsi="Arial" w:cs="Arial"/>
          <w:i/>
        </w:rPr>
        <w:t xml:space="preserve">, for those using more than 10,000 but less than 50,000 m3 (50 Ml) pa </w:t>
      </w:r>
      <w:r w:rsidR="00B00E98">
        <w:rPr>
          <w:rFonts w:ascii="Arial" w:hAnsi="Arial" w:cs="Arial"/>
          <w:i/>
        </w:rPr>
        <w:t>(lines 1</w:t>
      </w:r>
      <w:r w:rsidR="0061505F">
        <w:rPr>
          <w:rFonts w:ascii="Arial" w:hAnsi="Arial" w:cs="Arial"/>
          <w:i/>
        </w:rPr>
        <w:t>1</w:t>
      </w:r>
      <w:r w:rsidR="00B00E98">
        <w:rPr>
          <w:rFonts w:ascii="Arial" w:hAnsi="Arial" w:cs="Arial"/>
          <w:i/>
        </w:rPr>
        <w:t>-1</w:t>
      </w:r>
      <w:r w:rsidR="0061505F">
        <w:rPr>
          <w:rFonts w:ascii="Arial" w:hAnsi="Arial" w:cs="Arial"/>
          <w:i/>
        </w:rPr>
        <w:t>5</w:t>
      </w:r>
      <w:r w:rsidR="00B00E98">
        <w:rPr>
          <w:rFonts w:ascii="Arial" w:hAnsi="Arial" w:cs="Arial"/>
          <w:i/>
        </w:rPr>
        <w:t xml:space="preserve">) </w:t>
      </w:r>
      <w:r w:rsidR="00E518A4">
        <w:rPr>
          <w:rFonts w:ascii="Arial" w:hAnsi="Arial" w:cs="Arial"/>
          <w:i/>
        </w:rPr>
        <w:t>and those using more than 50,000 m3 pa</w:t>
      </w:r>
      <w:r w:rsidR="00B00E98">
        <w:rPr>
          <w:rFonts w:ascii="Arial" w:hAnsi="Arial" w:cs="Arial"/>
          <w:i/>
        </w:rPr>
        <w:t xml:space="preserve"> (lines 1</w:t>
      </w:r>
      <w:r w:rsidR="0061505F">
        <w:rPr>
          <w:rFonts w:ascii="Arial" w:hAnsi="Arial" w:cs="Arial"/>
          <w:i/>
        </w:rPr>
        <w:t>6</w:t>
      </w:r>
      <w:r w:rsidR="00B00E98">
        <w:rPr>
          <w:rFonts w:ascii="Arial" w:hAnsi="Arial" w:cs="Arial"/>
          <w:i/>
        </w:rPr>
        <w:t>-1</w:t>
      </w:r>
      <w:r w:rsidR="0061505F">
        <w:rPr>
          <w:rFonts w:ascii="Arial" w:hAnsi="Arial" w:cs="Arial"/>
          <w:i/>
        </w:rPr>
        <w:t>9</w:t>
      </w:r>
      <w:r w:rsidR="00B00E98">
        <w:rPr>
          <w:rFonts w:ascii="Arial" w:hAnsi="Arial" w:cs="Arial"/>
          <w:i/>
        </w:rPr>
        <w:t>)</w:t>
      </w:r>
      <w:r w:rsidR="00E518A4">
        <w:rPr>
          <w:rFonts w:ascii="Arial" w:hAnsi="Arial" w:cs="Arial"/>
          <w:i/>
        </w:rPr>
        <w:t>. Different standing charges also apply depending on the size of the meter</w:t>
      </w:r>
      <w:r w:rsidR="009226F6">
        <w:rPr>
          <w:rFonts w:ascii="Arial" w:hAnsi="Arial" w:cs="Arial"/>
          <w:i/>
        </w:rPr>
        <w:t xml:space="preserve"> assumed in the illustration.</w:t>
      </w:r>
    </w:p>
    <w:p w:rsidR="0081317F" w:rsidRDefault="0081317F">
      <w:pPr>
        <w:rPr>
          <w:rFonts w:ascii="Arial" w:eastAsiaTheme="majorEastAsia" w:hAnsi="Arial" w:cs="Arial"/>
          <w:b/>
          <w:i/>
        </w:rPr>
      </w:pPr>
    </w:p>
    <w:p w:rsidR="00311628" w:rsidRPr="00E518A4" w:rsidRDefault="00E518A4" w:rsidP="000557EB">
      <w:pPr>
        <w:pStyle w:val="Heading2"/>
        <w:numPr>
          <w:ilvl w:val="0"/>
          <w:numId w:val="0"/>
        </w:numPr>
        <w:jc w:val="both"/>
        <w:rPr>
          <w:rFonts w:cs="Arial"/>
          <w:i/>
          <w:sz w:val="22"/>
          <w:szCs w:val="22"/>
        </w:rPr>
      </w:pPr>
      <w:r w:rsidRPr="00E518A4">
        <w:rPr>
          <w:rFonts w:cs="Arial"/>
          <w:b/>
          <w:i/>
          <w:sz w:val="22"/>
          <w:szCs w:val="22"/>
        </w:rPr>
        <w:t>Table 2 – Non-household bills</w:t>
      </w:r>
      <w:r w:rsidR="00D931B9" w:rsidRPr="00E518A4">
        <w:rPr>
          <w:rFonts w:cs="Arial"/>
          <w:i/>
          <w:sz w:val="22"/>
          <w:szCs w:val="22"/>
        </w:rPr>
        <w:t>.</w:t>
      </w:r>
    </w:p>
    <w:tbl>
      <w:tblPr>
        <w:tblpPr w:leftFromText="180" w:rightFromText="180" w:vertAnchor="text" w:tblpXSpec="center" w:tblpY="1"/>
        <w:tblOverlap w:val="never"/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4091"/>
        <w:gridCol w:w="1276"/>
        <w:gridCol w:w="1217"/>
        <w:gridCol w:w="1504"/>
        <w:gridCol w:w="1276"/>
      </w:tblGrid>
      <w:tr w:rsidR="00504618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4618" w:rsidRPr="00AE21FC" w:rsidRDefault="00504618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618" w:rsidRPr="00AE21FC" w:rsidRDefault="00504618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0DCF" w:rsidRDefault="00504618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2019/20 </w:t>
            </w:r>
          </w:p>
          <w:p w:rsidR="00504618" w:rsidRPr="00AE21FC" w:rsidRDefault="00504618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0DCF" w:rsidRDefault="003D0DCF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2020/21</w:t>
            </w:r>
          </w:p>
          <w:p w:rsidR="00504618" w:rsidRPr="00AE21FC" w:rsidRDefault="005044CE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DCF" w:rsidRDefault="00504618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Variance </w:t>
            </w:r>
          </w:p>
          <w:p w:rsidR="00504618" w:rsidRPr="00AE21FC" w:rsidRDefault="00504618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DCF" w:rsidRDefault="00504618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Variance</w:t>
            </w:r>
          </w:p>
          <w:p w:rsidR="00504618" w:rsidRPr="00AE21FC" w:rsidRDefault="00504618" w:rsidP="003D0D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(%)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Unmeasured RV £170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77.45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72.20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</w:t>
            </w:r>
            <w:r w:rsidR="00E94A7D" w:rsidRPr="00AE2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21FC"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-6.8%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Unmeasured RV £500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211.77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190.48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- 21.29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-10.1%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Unmeasured RV £800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333.88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298.00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- 35.88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-10.7%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Licence Charge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95.02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91.07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- 3.96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-4.2%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Minimum Charge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63.21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59.66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- 3.55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-5.6%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Measured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>266m</w:t>
            </w:r>
            <w:r w:rsidR="00582A0B"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0.5" meter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206.95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195.38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- 11.57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-5.6%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Measured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>375m</w:t>
            </w:r>
            <w:r w:rsidR="00582A0B"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- 0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.75"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293.07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276.10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- 16.97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-5.8%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Measured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>1,790m</w:t>
            </w:r>
            <w:r w:rsidR="00582A0B"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3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-1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.5"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1,498.82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1,396.36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- 102.46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-6.8%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Measured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>5,000m</w:t>
            </w:r>
            <w:r w:rsidR="00582A0B"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1.5"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3,906.31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3,651.19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- 255.12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-6.5%</w:t>
            </w:r>
          </w:p>
        </w:tc>
      </w:tr>
      <w:tr w:rsidR="00A40B65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65" w:rsidRPr="00AE21FC" w:rsidRDefault="00A40B65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Measured 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>100m</w:t>
            </w:r>
            <w:r w:rsidR="00582A0B"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="00582A0B"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0.5"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82.45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78.77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- 3.68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40B65" w:rsidRPr="00AE21FC" w:rsidRDefault="00A40B65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-4.5%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10,000 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- 0.75" meter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7,460.99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7,037.08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- 423.91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-5.7%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18,000m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- 1.0" meter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13,296.67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12,460.81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- 835.86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-6.3%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20,000m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- 2.0" meter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14,868.40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13,917.59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- 950.82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-6.4%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21,000m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- 4.0" meter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16,140.68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15,078.45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- 1,062.23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-6.6%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40,000m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- 4.0" meter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29,859.00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27,839.22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- 2,019.78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-6.8%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75,000m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- 0.75" meter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51,919.20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48,137.32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- 3,781.87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-7.3%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130,000m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- 0.5" &amp; 3.0"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85,894.24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80416.74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-5,477.50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-6.4%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145,000m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0.5" &amp; 8.0"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97,553.05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91339.65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-6,213.40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-6.4%</w:t>
            </w:r>
          </w:p>
        </w:tc>
      </w:tr>
      <w:tr w:rsidR="00582A0B" w:rsidRPr="00673A51" w:rsidTr="003D0DCF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A0B" w:rsidRPr="00AE21FC" w:rsidRDefault="00582A0B" w:rsidP="00AE21F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>Measured 250,000m</w:t>
            </w:r>
            <w:r w:rsidRPr="00AE21FC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  <w:r w:rsidRPr="00AE21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0.5" &amp; 8.0"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165,713.97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155,878.99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-9,834.98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82A0B" w:rsidRPr="00AE21FC" w:rsidRDefault="00582A0B" w:rsidP="003D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FC">
              <w:rPr>
                <w:rFonts w:ascii="Arial" w:hAnsi="Arial" w:cs="Arial"/>
                <w:sz w:val="20"/>
                <w:szCs w:val="20"/>
              </w:rPr>
              <w:t>-5.9%</w:t>
            </w:r>
          </w:p>
        </w:tc>
      </w:tr>
    </w:tbl>
    <w:p w:rsidR="005F21C8" w:rsidRDefault="005F21C8" w:rsidP="00927D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21C8" w:rsidRDefault="005F21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21C8" w:rsidRDefault="005F21C8" w:rsidP="005F21C8">
      <w:pPr>
        <w:spacing w:after="0"/>
        <w:jc w:val="both"/>
        <w:rPr>
          <w:rFonts w:ascii="Arial" w:hAnsi="Arial" w:cs="Arial"/>
          <w:b/>
        </w:rPr>
      </w:pPr>
    </w:p>
    <w:p w:rsidR="005F21C8" w:rsidRPr="005F21C8" w:rsidRDefault="005F21C8" w:rsidP="005F21C8">
      <w:pPr>
        <w:spacing w:after="0"/>
        <w:jc w:val="both"/>
        <w:rPr>
          <w:rFonts w:ascii="Arial" w:hAnsi="Arial" w:cs="Arial"/>
        </w:rPr>
      </w:pPr>
      <w:r w:rsidRPr="005F21C8">
        <w:rPr>
          <w:rFonts w:ascii="Arial" w:hAnsi="Arial" w:cs="Arial"/>
        </w:rPr>
        <w:t>On behalf of the Board of Port</w:t>
      </w:r>
      <w:r>
        <w:rPr>
          <w:rFonts w:ascii="Arial" w:hAnsi="Arial" w:cs="Arial"/>
        </w:rPr>
        <w:t>s</w:t>
      </w:r>
      <w:r w:rsidRPr="005F21C8">
        <w:rPr>
          <w:rFonts w:ascii="Arial" w:hAnsi="Arial" w:cs="Arial"/>
        </w:rPr>
        <w:t>mouth Water</w:t>
      </w:r>
      <w:r>
        <w:rPr>
          <w:rFonts w:ascii="Arial" w:hAnsi="Arial" w:cs="Arial"/>
        </w:rPr>
        <w:t>.</w:t>
      </w:r>
    </w:p>
    <w:p w:rsidR="005F21C8" w:rsidRDefault="005F21C8" w:rsidP="005F21C8">
      <w:pPr>
        <w:spacing w:after="0"/>
        <w:jc w:val="both"/>
        <w:rPr>
          <w:rFonts w:ascii="Arial" w:hAnsi="Arial" w:cs="Arial"/>
          <w:b/>
        </w:rPr>
      </w:pPr>
    </w:p>
    <w:p w:rsidR="005F21C8" w:rsidRDefault="005F21C8" w:rsidP="005F21C8">
      <w:pPr>
        <w:spacing w:after="0"/>
        <w:jc w:val="both"/>
        <w:rPr>
          <w:rFonts w:ascii="Arial" w:hAnsi="Arial" w:cs="Arial"/>
          <w:b/>
        </w:rPr>
      </w:pPr>
    </w:p>
    <w:p w:rsidR="005F21C8" w:rsidRDefault="005F21C8" w:rsidP="005F21C8">
      <w:pPr>
        <w:spacing w:after="0"/>
        <w:ind w:left="5103" w:hanging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2428875" cy="685800"/>
            <wp:effectExtent l="0" t="0" r="9525" b="0"/>
            <wp:docPr id="2" name="Picture 2" descr="COFFIN_MIK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IN_MIKE (00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C8" w:rsidRDefault="005F21C8" w:rsidP="005F21C8">
      <w:pPr>
        <w:spacing w:after="0"/>
        <w:ind w:left="5103" w:hanging="5103"/>
        <w:jc w:val="both"/>
        <w:rPr>
          <w:rFonts w:ascii="Arial" w:hAnsi="Arial" w:cs="Arial"/>
          <w:b/>
        </w:rPr>
      </w:pPr>
    </w:p>
    <w:p w:rsidR="005F21C8" w:rsidRDefault="005F21C8" w:rsidP="005F21C8">
      <w:pPr>
        <w:spacing w:after="0"/>
        <w:ind w:left="5103" w:hanging="5103"/>
        <w:jc w:val="both"/>
        <w:rPr>
          <w:rFonts w:ascii="Arial" w:hAnsi="Arial" w:cs="Arial"/>
          <w:b/>
        </w:rPr>
      </w:pPr>
    </w:p>
    <w:p w:rsidR="005F21C8" w:rsidRDefault="005F21C8" w:rsidP="005F21C8">
      <w:pPr>
        <w:spacing w:after="0"/>
        <w:ind w:left="5103" w:hanging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Michael Coffin</w:t>
      </w:r>
    </w:p>
    <w:p w:rsidR="005F21C8" w:rsidRDefault="005F21C8" w:rsidP="005F21C8">
      <w:pPr>
        <w:spacing w:after="0"/>
        <w:ind w:left="5103" w:hanging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Non-Executive Director </w:t>
      </w:r>
      <w:r>
        <w:rPr>
          <w:rFonts w:ascii="Arial" w:hAnsi="Arial" w:cs="Arial"/>
          <w:b/>
        </w:rPr>
        <w:tab/>
      </w:r>
    </w:p>
    <w:p w:rsidR="005F21C8" w:rsidRDefault="005F21C8" w:rsidP="005F21C8">
      <w:pPr>
        <w:spacing w:after="0"/>
        <w:ind w:left="5760" w:hanging="576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and</w:t>
      </w:r>
      <w:proofErr w:type="gramEnd"/>
      <w:r>
        <w:rPr>
          <w:rFonts w:ascii="Arial" w:hAnsi="Arial" w:cs="Arial"/>
          <w:b/>
        </w:rPr>
        <w:t xml:space="preserve"> chair of the Audit Committee</w:t>
      </w:r>
    </w:p>
    <w:p w:rsidR="005F21C8" w:rsidRDefault="005F21C8" w:rsidP="005F21C8">
      <w:pPr>
        <w:spacing w:after="0"/>
        <w:ind w:left="5760" w:hanging="5760"/>
        <w:jc w:val="both"/>
        <w:rPr>
          <w:rFonts w:ascii="Arial" w:hAnsi="Arial" w:cs="Arial"/>
          <w:b/>
        </w:rPr>
      </w:pPr>
    </w:p>
    <w:p w:rsidR="005F21C8" w:rsidRDefault="005F21C8" w:rsidP="005F21C8">
      <w:pPr>
        <w:spacing w:after="0"/>
        <w:ind w:left="5760" w:hanging="5760"/>
        <w:jc w:val="both"/>
        <w:rPr>
          <w:rFonts w:ascii="Arial" w:hAnsi="Arial" w:cs="Arial"/>
          <w:b/>
        </w:rPr>
      </w:pPr>
    </w:p>
    <w:p w:rsidR="005F21C8" w:rsidRDefault="005F21C8" w:rsidP="005F21C8">
      <w:pPr>
        <w:spacing w:after="0"/>
        <w:ind w:left="5760" w:hanging="57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2219325" cy="304800"/>
            <wp:effectExtent l="0" t="0" r="9525" b="0"/>
            <wp:docPr id="1" name="Picture 1" descr="Orton Signatur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ton Signature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C8" w:rsidRDefault="005F21C8" w:rsidP="005F21C8">
      <w:pPr>
        <w:spacing w:after="0"/>
        <w:jc w:val="both"/>
        <w:rPr>
          <w:rFonts w:ascii="Arial" w:hAnsi="Arial" w:cs="Arial"/>
          <w:b/>
        </w:rPr>
      </w:pPr>
    </w:p>
    <w:p w:rsidR="005F21C8" w:rsidRDefault="005F21C8" w:rsidP="005F21C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Helen Orton</w:t>
      </w:r>
    </w:p>
    <w:p w:rsidR="005F21C8" w:rsidRDefault="005F21C8" w:rsidP="005F21C8">
      <w:pPr>
        <w:spacing w:after="0"/>
        <w:ind w:left="5103" w:hanging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 and Regulation Director</w:t>
      </w:r>
    </w:p>
    <w:p w:rsidR="00812BB2" w:rsidRDefault="00812BB2" w:rsidP="00927D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21C8" w:rsidRDefault="005F21C8" w:rsidP="00927D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21C8" w:rsidRPr="005F21C8" w:rsidRDefault="005F21C8" w:rsidP="00927DBD">
      <w:pPr>
        <w:spacing w:after="0"/>
        <w:jc w:val="both"/>
        <w:rPr>
          <w:rFonts w:ascii="Arial" w:hAnsi="Arial" w:cs="Arial"/>
        </w:rPr>
      </w:pPr>
      <w:r w:rsidRPr="005F21C8">
        <w:rPr>
          <w:rFonts w:ascii="Arial" w:hAnsi="Arial" w:cs="Arial"/>
        </w:rPr>
        <w:t>12 January 2020</w:t>
      </w:r>
    </w:p>
    <w:sectPr w:rsidR="005F21C8" w:rsidRPr="005F21C8" w:rsidSect="0017516C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66" w:rsidRDefault="00EE0D66" w:rsidP="00DD05CE">
      <w:pPr>
        <w:spacing w:after="0" w:line="240" w:lineRule="auto"/>
      </w:pPr>
      <w:r>
        <w:separator/>
      </w:r>
    </w:p>
  </w:endnote>
  <w:endnote w:type="continuationSeparator" w:id="0">
    <w:p w:rsidR="00EE0D66" w:rsidRDefault="00EE0D66" w:rsidP="00DD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819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D66" w:rsidRDefault="00EE0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D66" w:rsidRDefault="00EE0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66" w:rsidRDefault="00EE0D66" w:rsidP="00DD05CE">
      <w:pPr>
        <w:spacing w:after="0" w:line="240" w:lineRule="auto"/>
      </w:pPr>
      <w:r>
        <w:separator/>
      </w:r>
    </w:p>
  </w:footnote>
  <w:footnote w:type="continuationSeparator" w:id="0">
    <w:p w:rsidR="00EE0D66" w:rsidRDefault="00EE0D66" w:rsidP="00DD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C68C4"/>
    <w:multiLevelType w:val="hybridMultilevel"/>
    <w:tmpl w:val="0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C3883"/>
    <w:multiLevelType w:val="hybridMultilevel"/>
    <w:tmpl w:val="5F9A31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045E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1849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F0E44E7"/>
    <w:multiLevelType w:val="hybridMultilevel"/>
    <w:tmpl w:val="9CEC81FE"/>
    <w:lvl w:ilvl="0" w:tplc="929275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2C77D5"/>
    <w:multiLevelType w:val="hybridMultilevel"/>
    <w:tmpl w:val="D9C03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0E"/>
    <w:rsid w:val="000002BA"/>
    <w:rsid w:val="00013134"/>
    <w:rsid w:val="00015006"/>
    <w:rsid w:val="00015EC1"/>
    <w:rsid w:val="00025B43"/>
    <w:rsid w:val="000321D3"/>
    <w:rsid w:val="0003295B"/>
    <w:rsid w:val="000338C4"/>
    <w:rsid w:val="00034577"/>
    <w:rsid w:val="00037789"/>
    <w:rsid w:val="00037A16"/>
    <w:rsid w:val="00046024"/>
    <w:rsid w:val="00046570"/>
    <w:rsid w:val="0005515F"/>
    <w:rsid w:val="000557EB"/>
    <w:rsid w:val="0009315D"/>
    <w:rsid w:val="000B1924"/>
    <w:rsid w:val="000B75C0"/>
    <w:rsid w:val="000C2820"/>
    <w:rsid w:val="000E4074"/>
    <w:rsid w:val="000E515C"/>
    <w:rsid w:val="000F1A91"/>
    <w:rsid w:val="000F7439"/>
    <w:rsid w:val="00111081"/>
    <w:rsid w:val="00114353"/>
    <w:rsid w:val="0011659B"/>
    <w:rsid w:val="001169CD"/>
    <w:rsid w:val="0012509E"/>
    <w:rsid w:val="00134D46"/>
    <w:rsid w:val="001367E9"/>
    <w:rsid w:val="001529D7"/>
    <w:rsid w:val="00161DFB"/>
    <w:rsid w:val="0017516C"/>
    <w:rsid w:val="00180906"/>
    <w:rsid w:val="001918DA"/>
    <w:rsid w:val="001A4D68"/>
    <w:rsid w:val="001C03C9"/>
    <w:rsid w:val="001D505C"/>
    <w:rsid w:val="001E2441"/>
    <w:rsid w:val="001E34C2"/>
    <w:rsid w:val="001E5070"/>
    <w:rsid w:val="001F0408"/>
    <w:rsid w:val="001F23BD"/>
    <w:rsid w:val="001F3CBA"/>
    <w:rsid w:val="002023E0"/>
    <w:rsid w:val="002121D0"/>
    <w:rsid w:val="0021332A"/>
    <w:rsid w:val="002159C1"/>
    <w:rsid w:val="00226728"/>
    <w:rsid w:val="002348B1"/>
    <w:rsid w:val="00263F3D"/>
    <w:rsid w:val="002660AF"/>
    <w:rsid w:val="0027058E"/>
    <w:rsid w:val="00284B74"/>
    <w:rsid w:val="00284CCB"/>
    <w:rsid w:val="00290C17"/>
    <w:rsid w:val="002D13A0"/>
    <w:rsid w:val="002E010E"/>
    <w:rsid w:val="002E10A3"/>
    <w:rsid w:val="002F3F1C"/>
    <w:rsid w:val="00304FFE"/>
    <w:rsid w:val="00311628"/>
    <w:rsid w:val="00314C9A"/>
    <w:rsid w:val="00331F37"/>
    <w:rsid w:val="00350B43"/>
    <w:rsid w:val="00357472"/>
    <w:rsid w:val="00362DBB"/>
    <w:rsid w:val="00365F0E"/>
    <w:rsid w:val="00391A7E"/>
    <w:rsid w:val="003A5270"/>
    <w:rsid w:val="003C2D2B"/>
    <w:rsid w:val="003C3258"/>
    <w:rsid w:val="003C6368"/>
    <w:rsid w:val="003D0DCF"/>
    <w:rsid w:val="003D6AD9"/>
    <w:rsid w:val="003E1AC6"/>
    <w:rsid w:val="00402E0B"/>
    <w:rsid w:val="00406C32"/>
    <w:rsid w:val="00411698"/>
    <w:rsid w:val="004117E8"/>
    <w:rsid w:val="0041550A"/>
    <w:rsid w:val="00432300"/>
    <w:rsid w:val="004518A0"/>
    <w:rsid w:val="0045772C"/>
    <w:rsid w:val="00463D38"/>
    <w:rsid w:val="00473B35"/>
    <w:rsid w:val="004740B1"/>
    <w:rsid w:val="00474EC4"/>
    <w:rsid w:val="0047590D"/>
    <w:rsid w:val="00475A9B"/>
    <w:rsid w:val="0049012E"/>
    <w:rsid w:val="004A4D3E"/>
    <w:rsid w:val="004A57FA"/>
    <w:rsid w:val="004B08F8"/>
    <w:rsid w:val="004B33E9"/>
    <w:rsid w:val="005000B8"/>
    <w:rsid w:val="005044CE"/>
    <w:rsid w:val="00504618"/>
    <w:rsid w:val="005064D2"/>
    <w:rsid w:val="0052446F"/>
    <w:rsid w:val="00526D93"/>
    <w:rsid w:val="0053032C"/>
    <w:rsid w:val="00561D47"/>
    <w:rsid w:val="00575539"/>
    <w:rsid w:val="00582A0B"/>
    <w:rsid w:val="0058680A"/>
    <w:rsid w:val="00591FAD"/>
    <w:rsid w:val="005953AF"/>
    <w:rsid w:val="005B08FE"/>
    <w:rsid w:val="005D2D36"/>
    <w:rsid w:val="005D773A"/>
    <w:rsid w:val="005E226F"/>
    <w:rsid w:val="005F074E"/>
    <w:rsid w:val="005F21C8"/>
    <w:rsid w:val="0060433B"/>
    <w:rsid w:val="0061206A"/>
    <w:rsid w:val="0061505F"/>
    <w:rsid w:val="00620754"/>
    <w:rsid w:val="00627230"/>
    <w:rsid w:val="00631169"/>
    <w:rsid w:val="006353C3"/>
    <w:rsid w:val="0064626E"/>
    <w:rsid w:val="00665D20"/>
    <w:rsid w:val="00671520"/>
    <w:rsid w:val="00673A51"/>
    <w:rsid w:val="0068258A"/>
    <w:rsid w:val="00682F77"/>
    <w:rsid w:val="006A33F9"/>
    <w:rsid w:val="006A3D07"/>
    <w:rsid w:val="006C2F01"/>
    <w:rsid w:val="00711E2C"/>
    <w:rsid w:val="00711E95"/>
    <w:rsid w:val="00714B8B"/>
    <w:rsid w:val="00725707"/>
    <w:rsid w:val="00740946"/>
    <w:rsid w:val="007507AE"/>
    <w:rsid w:val="00757694"/>
    <w:rsid w:val="007759EC"/>
    <w:rsid w:val="007B3519"/>
    <w:rsid w:val="007C169F"/>
    <w:rsid w:val="007D57D0"/>
    <w:rsid w:val="007D6F43"/>
    <w:rsid w:val="007E4FBF"/>
    <w:rsid w:val="007E543A"/>
    <w:rsid w:val="007F37BE"/>
    <w:rsid w:val="007F516D"/>
    <w:rsid w:val="007F573C"/>
    <w:rsid w:val="008015BC"/>
    <w:rsid w:val="00805EF7"/>
    <w:rsid w:val="00806F24"/>
    <w:rsid w:val="008071A2"/>
    <w:rsid w:val="00810485"/>
    <w:rsid w:val="00812BB2"/>
    <w:rsid w:val="00812C9A"/>
    <w:rsid w:val="0081317F"/>
    <w:rsid w:val="00825A08"/>
    <w:rsid w:val="008278DA"/>
    <w:rsid w:val="00827FDB"/>
    <w:rsid w:val="008322B6"/>
    <w:rsid w:val="008365A0"/>
    <w:rsid w:val="00844B12"/>
    <w:rsid w:val="00850529"/>
    <w:rsid w:val="00864FF5"/>
    <w:rsid w:val="00865E7E"/>
    <w:rsid w:val="00873505"/>
    <w:rsid w:val="00882B39"/>
    <w:rsid w:val="008A21D6"/>
    <w:rsid w:val="008A3AAD"/>
    <w:rsid w:val="008A47D1"/>
    <w:rsid w:val="008A6F1E"/>
    <w:rsid w:val="008A74E8"/>
    <w:rsid w:val="008C0CF7"/>
    <w:rsid w:val="008C6A49"/>
    <w:rsid w:val="008D68AC"/>
    <w:rsid w:val="008E2920"/>
    <w:rsid w:val="008E5566"/>
    <w:rsid w:val="009142D9"/>
    <w:rsid w:val="009226F6"/>
    <w:rsid w:val="00927DBD"/>
    <w:rsid w:val="00932189"/>
    <w:rsid w:val="00940A73"/>
    <w:rsid w:val="009509E5"/>
    <w:rsid w:val="0095158E"/>
    <w:rsid w:val="00966FC3"/>
    <w:rsid w:val="00997508"/>
    <w:rsid w:val="009A247C"/>
    <w:rsid w:val="009A47D3"/>
    <w:rsid w:val="009B235F"/>
    <w:rsid w:val="009C139D"/>
    <w:rsid w:val="009C4377"/>
    <w:rsid w:val="00A111EC"/>
    <w:rsid w:val="00A168B0"/>
    <w:rsid w:val="00A17768"/>
    <w:rsid w:val="00A205D3"/>
    <w:rsid w:val="00A264C4"/>
    <w:rsid w:val="00A3326E"/>
    <w:rsid w:val="00A40B65"/>
    <w:rsid w:val="00A433A6"/>
    <w:rsid w:val="00A45C7A"/>
    <w:rsid w:val="00A57CFE"/>
    <w:rsid w:val="00A63C6F"/>
    <w:rsid w:val="00A70443"/>
    <w:rsid w:val="00A72336"/>
    <w:rsid w:val="00A77191"/>
    <w:rsid w:val="00AB4016"/>
    <w:rsid w:val="00AB6B68"/>
    <w:rsid w:val="00AC235D"/>
    <w:rsid w:val="00AC3AEE"/>
    <w:rsid w:val="00AD448E"/>
    <w:rsid w:val="00AE129F"/>
    <w:rsid w:val="00AE21FC"/>
    <w:rsid w:val="00B00E98"/>
    <w:rsid w:val="00B01143"/>
    <w:rsid w:val="00B0263B"/>
    <w:rsid w:val="00B073F7"/>
    <w:rsid w:val="00B17172"/>
    <w:rsid w:val="00B36B39"/>
    <w:rsid w:val="00B37BDF"/>
    <w:rsid w:val="00B84B69"/>
    <w:rsid w:val="00B97059"/>
    <w:rsid w:val="00BC48F1"/>
    <w:rsid w:val="00BE6CA8"/>
    <w:rsid w:val="00BF63B3"/>
    <w:rsid w:val="00C01A51"/>
    <w:rsid w:val="00C0575A"/>
    <w:rsid w:val="00C1365D"/>
    <w:rsid w:val="00C25512"/>
    <w:rsid w:val="00C26FEC"/>
    <w:rsid w:val="00C366A1"/>
    <w:rsid w:val="00C449B9"/>
    <w:rsid w:val="00C457EB"/>
    <w:rsid w:val="00C55BC4"/>
    <w:rsid w:val="00C74A48"/>
    <w:rsid w:val="00C77D9C"/>
    <w:rsid w:val="00C835D1"/>
    <w:rsid w:val="00C84E47"/>
    <w:rsid w:val="00C95DA6"/>
    <w:rsid w:val="00C95DD6"/>
    <w:rsid w:val="00CA1A6C"/>
    <w:rsid w:val="00CB20B8"/>
    <w:rsid w:val="00CB2AC7"/>
    <w:rsid w:val="00CC29DF"/>
    <w:rsid w:val="00CC4257"/>
    <w:rsid w:val="00CE4FA5"/>
    <w:rsid w:val="00D030F6"/>
    <w:rsid w:val="00D11F6D"/>
    <w:rsid w:val="00D2304A"/>
    <w:rsid w:val="00D2357F"/>
    <w:rsid w:val="00D24664"/>
    <w:rsid w:val="00D3371D"/>
    <w:rsid w:val="00D35615"/>
    <w:rsid w:val="00D50056"/>
    <w:rsid w:val="00D51BA2"/>
    <w:rsid w:val="00D52B2E"/>
    <w:rsid w:val="00D55F23"/>
    <w:rsid w:val="00D705AD"/>
    <w:rsid w:val="00D922C0"/>
    <w:rsid w:val="00D92FDB"/>
    <w:rsid w:val="00D931B9"/>
    <w:rsid w:val="00D96D61"/>
    <w:rsid w:val="00DA1F79"/>
    <w:rsid w:val="00DA3FD1"/>
    <w:rsid w:val="00DC4C53"/>
    <w:rsid w:val="00DC6BB6"/>
    <w:rsid w:val="00DD05CE"/>
    <w:rsid w:val="00DD0F22"/>
    <w:rsid w:val="00DD1FBC"/>
    <w:rsid w:val="00DF2248"/>
    <w:rsid w:val="00E23E5F"/>
    <w:rsid w:val="00E245F6"/>
    <w:rsid w:val="00E301B9"/>
    <w:rsid w:val="00E329D1"/>
    <w:rsid w:val="00E518A4"/>
    <w:rsid w:val="00E660C1"/>
    <w:rsid w:val="00E85BF3"/>
    <w:rsid w:val="00E928CF"/>
    <w:rsid w:val="00E92FEA"/>
    <w:rsid w:val="00E94A7D"/>
    <w:rsid w:val="00E94BC1"/>
    <w:rsid w:val="00EB77DB"/>
    <w:rsid w:val="00EE0D66"/>
    <w:rsid w:val="00EE26E2"/>
    <w:rsid w:val="00F05FDC"/>
    <w:rsid w:val="00F46E51"/>
    <w:rsid w:val="00F52172"/>
    <w:rsid w:val="00F554A4"/>
    <w:rsid w:val="00F64ABF"/>
    <w:rsid w:val="00F6592E"/>
    <w:rsid w:val="00F66076"/>
    <w:rsid w:val="00F81368"/>
    <w:rsid w:val="00FA337E"/>
    <w:rsid w:val="00FA5B8E"/>
    <w:rsid w:val="00FB2222"/>
    <w:rsid w:val="00FB6FB6"/>
    <w:rsid w:val="00FC3991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56A8-DFD4-489B-BDA8-222A8459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BC1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BC1"/>
    <w:pPr>
      <w:keepNext/>
      <w:keepLines/>
      <w:numPr>
        <w:ilvl w:val="1"/>
        <w:numId w:val="2"/>
      </w:numPr>
      <w:spacing w:before="40" w:after="0"/>
      <w:ind w:left="576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B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B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B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B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B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B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B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BC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BC1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B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B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B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B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2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3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CE"/>
  </w:style>
  <w:style w:type="paragraph" w:styleId="Footer">
    <w:name w:val="footer"/>
    <w:basedOn w:val="Normal"/>
    <w:link w:val="FooterChar"/>
    <w:uiPriority w:val="99"/>
    <w:unhideWhenUsed/>
    <w:rsid w:val="00DD0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CE"/>
  </w:style>
  <w:style w:type="paragraph" w:styleId="NoSpacing">
    <w:name w:val="No Spacing"/>
    <w:uiPriority w:val="1"/>
    <w:qFormat/>
    <w:rsid w:val="00B171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C490410E</Template>
  <TotalTime>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Steve</dc:creator>
  <cp:keywords/>
  <dc:description/>
  <cp:lastModifiedBy>Morley, Steve</cp:lastModifiedBy>
  <cp:revision>4</cp:revision>
  <cp:lastPrinted>2020-01-03T12:46:00Z</cp:lastPrinted>
  <dcterms:created xsi:type="dcterms:W3CDTF">2020-01-10T09:47:00Z</dcterms:created>
  <dcterms:modified xsi:type="dcterms:W3CDTF">2020-01-10T09:55:00Z</dcterms:modified>
</cp:coreProperties>
</file>