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A23" w:rsidRDefault="00757A23" w:rsidP="00757A23">
      <w:pPr>
        <w:jc w:val="right"/>
        <w:rPr>
          <w:rFonts w:ascii="Arial" w:hAnsi="Arial" w:cs="Arial"/>
          <w:b/>
          <w:bCs/>
        </w:rPr>
      </w:pPr>
      <w:r w:rsidRPr="00086296">
        <w:rPr>
          <w:rFonts w:cs="Arial"/>
          <w:noProof/>
          <w:lang w:eastAsia="en-GB"/>
        </w:rPr>
        <w:drawing>
          <wp:inline distT="0" distB="0" distL="0" distR="0" wp14:anchorId="5D924CCF" wp14:editId="509984DA">
            <wp:extent cx="2943225" cy="1466850"/>
            <wp:effectExtent l="0" t="0" r="9525" b="0"/>
            <wp:docPr id="6" name="Picture 6" descr="PW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WLOGO20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225" cy="1466850"/>
                    </a:xfrm>
                    <a:prstGeom prst="rect">
                      <a:avLst/>
                    </a:prstGeom>
                    <a:noFill/>
                    <a:ln>
                      <a:noFill/>
                    </a:ln>
                  </pic:spPr>
                </pic:pic>
              </a:graphicData>
            </a:graphic>
          </wp:inline>
        </w:drawing>
      </w:r>
    </w:p>
    <w:p w:rsidR="00757A23" w:rsidRDefault="00757A23" w:rsidP="00757A23">
      <w:pPr>
        <w:rPr>
          <w:rFonts w:ascii="Arial" w:hAnsi="Arial" w:cs="Arial"/>
          <w:b/>
          <w:bCs/>
        </w:rPr>
      </w:pPr>
    </w:p>
    <w:p w:rsidR="00757A23" w:rsidRDefault="00757A23" w:rsidP="00757A23">
      <w:pPr>
        <w:rPr>
          <w:rFonts w:ascii="Arial" w:hAnsi="Arial" w:cs="Arial"/>
          <w:b/>
          <w:bCs/>
        </w:rPr>
      </w:pPr>
    </w:p>
    <w:p w:rsidR="00757A23" w:rsidRDefault="00757A23" w:rsidP="00757A23">
      <w:pPr>
        <w:rPr>
          <w:rFonts w:ascii="Arial" w:hAnsi="Arial" w:cs="Arial"/>
          <w:b/>
          <w:bCs/>
        </w:rPr>
      </w:pPr>
    </w:p>
    <w:p w:rsidR="00757A23" w:rsidRDefault="00757A23" w:rsidP="0076296D">
      <w:pPr>
        <w:rPr>
          <w:rFonts w:ascii="Arial" w:hAnsi="Arial" w:cs="Arial"/>
          <w:b/>
          <w:bCs/>
          <w:sz w:val="36"/>
          <w:szCs w:val="36"/>
        </w:rPr>
      </w:pPr>
      <w:r w:rsidRPr="006D7273">
        <w:rPr>
          <w:rFonts w:ascii="Arial" w:hAnsi="Arial" w:cs="Arial"/>
          <w:b/>
          <w:bCs/>
          <w:sz w:val="36"/>
          <w:szCs w:val="36"/>
        </w:rPr>
        <w:t xml:space="preserve">Portsmouth Water’s </w:t>
      </w:r>
      <w:r w:rsidR="00B629AF">
        <w:rPr>
          <w:rFonts w:ascii="Arial" w:hAnsi="Arial" w:cs="Arial"/>
          <w:b/>
          <w:bCs/>
          <w:sz w:val="36"/>
          <w:szCs w:val="36"/>
        </w:rPr>
        <w:t xml:space="preserve">Final </w:t>
      </w:r>
      <w:r>
        <w:rPr>
          <w:rFonts w:ascii="Arial" w:hAnsi="Arial" w:cs="Arial"/>
          <w:b/>
          <w:bCs/>
          <w:sz w:val="36"/>
          <w:szCs w:val="36"/>
        </w:rPr>
        <w:t>A</w:t>
      </w:r>
      <w:r w:rsidR="00B629AF">
        <w:rPr>
          <w:rFonts w:ascii="Arial" w:hAnsi="Arial" w:cs="Arial"/>
          <w:b/>
          <w:bCs/>
          <w:sz w:val="36"/>
          <w:szCs w:val="36"/>
        </w:rPr>
        <w:t xml:space="preserve">ssurance </w:t>
      </w:r>
      <w:r>
        <w:rPr>
          <w:rFonts w:ascii="Arial" w:hAnsi="Arial" w:cs="Arial"/>
          <w:b/>
          <w:bCs/>
          <w:sz w:val="36"/>
          <w:szCs w:val="36"/>
        </w:rPr>
        <w:t>Plan</w:t>
      </w:r>
      <w:r w:rsidRPr="006D7273">
        <w:rPr>
          <w:rFonts w:ascii="Arial" w:hAnsi="Arial" w:cs="Arial"/>
          <w:b/>
          <w:bCs/>
          <w:sz w:val="36"/>
          <w:szCs w:val="36"/>
        </w:rPr>
        <w:t xml:space="preserve"> </w:t>
      </w:r>
      <w:r w:rsidR="00B629AF">
        <w:rPr>
          <w:rFonts w:ascii="Arial" w:hAnsi="Arial" w:cs="Arial"/>
          <w:b/>
          <w:bCs/>
          <w:sz w:val="36"/>
          <w:szCs w:val="36"/>
        </w:rPr>
        <w:t>201</w:t>
      </w:r>
      <w:r w:rsidR="0076296D">
        <w:rPr>
          <w:rFonts w:ascii="Arial" w:hAnsi="Arial" w:cs="Arial"/>
          <w:b/>
          <w:bCs/>
          <w:sz w:val="36"/>
          <w:szCs w:val="36"/>
        </w:rPr>
        <w:t>8</w:t>
      </w:r>
      <w:r w:rsidR="00B629AF">
        <w:rPr>
          <w:rFonts w:ascii="Arial" w:hAnsi="Arial" w:cs="Arial"/>
          <w:b/>
          <w:bCs/>
          <w:sz w:val="36"/>
          <w:szCs w:val="36"/>
        </w:rPr>
        <w:t>/1</w:t>
      </w:r>
      <w:r w:rsidR="0076296D">
        <w:rPr>
          <w:rFonts w:ascii="Arial" w:hAnsi="Arial" w:cs="Arial"/>
          <w:b/>
          <w:bCs/>
          <w:sz w:val="36"/>
          <w:szCs w:val="36"/>
        </w:rPr>
        <w:t>9</w:t>
      </w:r>
    </w:p>
    <w:p w:rsidR="00757A23" w:rsidRDefault="00757A23" w:rsidP="00757A23">
      <w:pPr>
        <w:rPr>
          <w:rFonts w:ascii="Arial" w:hAnsi="Arial" w:cs="Arial"/>
          <w:b/>
          <w:bCs/>
          <w:sz w:val="36"/>
          <w:szCs w:val="36"/>
        </w:rPr>
      </w:pPr>
    </w:p>
    <w:p w:rsidR="005F3ABE" w:rsidRDefault="0076296D" w:rsidP="00757A23">
      <w:pPr>
        <w:rPr>
          <w:rFonts w:ascii="Arial" w:hAnsi="Arial" w:cs="Arial"/>
          <w:b/>
          <w:bCs/>
          <w:sz w:val="36"/>
          <w:szCs w:val="36"/>
        </w:rPr>
      </w:pPr>
      <w:r>
        <w:rPr>
          <w:rFonts w:ascii="Arial" w:hAnsi="Arial" w:cs="Arial"/>
          <w:b/>
          <w:bCs/>
          <w:sz w:val="36"/>
          <w:szCs w:val="36"/>
        </w:rPr>
        <w:t>2</w:t>
      </w:r>
      <w:r w:rsidR="005F3ABE">
        <w:rPr>
          <w:rFonts w:ascii="Arial" w:hAnsi="Arial" w:cs="Arial"/>
          <w:b/>
          <w:bCs/>
          <w:sz w:val="36"/>
          <w:szCs w:val="36"/>
        </w:rPr>
        <w:t>4</w:t>
      </w:r>
      <w:r w:rsidR="00157FC8">
        <w:rPr>
          <w:rFonts w:ascii="Arial" w:hAnsi="Arial" w:cs="Arial"/>
          <w:b/>
          <w:bCs/>
          <w:sz w:val="36"/>
          <w:szCs w:val="36"/>
        </w:rPr>
        <w:t xml:space="preserve"> April 201</w:t>
      </w:r>
      <w:r>
        <w:rPr>
          <w:rFonts w:ascii="Arial" w:hAnsi="Arial" w:cs="Arial"/>
          <w:b/>
          <w:bCs/>
          <w:sz w:val="36"/>
          <w:szCs w:val="36"/>
        </w:rPr>
        <w:t>9</w:t>
      </w:r>
    </w:p>
    <w:p w:rsidR="005F3ABE" w:rsidRDefault="005F3ABE" w:rsidP="00757A23">
      <w:pPr>
        <w:rPr>
          <w:rFonts w:ascii="Arial" w:hAnsi="Arial" w:cs="Arial"/>
          <w:b/>
          <w:bCs/>
          <w:sz w:val="36"/>
          <w:szCs w:val="36"/>
        </w:rPr>
      </w:pPr>
    </w:p>
    <w:p w:rsidR="005F3ABE" w:rsidRDefault="005F3ABE" w:rsidP="00757A23">
      <w:pPr>
        <w:rPr>
          <w:rFonts w:ascii="Arial" w:hAnsi="Arial" w:cs="Arial"/>
          <w:b/>
          <w:bCs/>
          <w:sz w:val="36"/>
          <w:szCs w:val="36"/>
        </w:rPr>
      </w:pPr>
    </w:p>
    <w:p w:rsidR="005F3ABE" w:rsidRDefault="005F3ABE" w:rsidP="00757A23">
      <w:pPr>
        <w:rPr>
          <w:rFonts w:ascii="Arial" w:hAnsi="Arial" w:cs="Arial"/>
          <w:b/>
          <w:bCs/>
          <w:sz w:val="36"/>
          <w:szCs w:val="36"/>
        </w:rPr>
      </w:pPr>
    </w:p>
    <w:p w:rsidR="005F3ABE" w:rsidRDefault="005F3ABE" w:rsidP="00757A23">
      <w:pPr>
        <w:rPr>
          <w:rFonts w:ascii="Arial" w:hAnsi="Arial" w:cs="Arial"/>
          <w:b/>
          <w:bCs/>
          <w:sz w:val="36"/>
          <w:szCs w:val="36"/>
        </w:rPr>
      </w:pPr>
    </w:p>
    <w:p w:rsidR="005F3ABE" w:rsidRDefault="005F3ABE" w:rsidP="00757A23">
      <w:pPr>
        <w:rPr>
          <w:rFonts w:ascii="Arial" w:hAnsi="Arial" w:cs="Arial"/>
          <w:b/>
          <w:bCs/>
          <w:sz w:val="36"/>
          <w:szCs w:val="36"/>
        </w:rPr>
      </w:pPr>
    </w:p>
    <w:p w:rsidR="005F3ABE" w:rsidRDefault="005F3ABE" w:rsidP="00757A23">
      <w:pPr>
        <w:rPr>
          <w:rFonts w:ascii="Arial" w:hAnsi="Arial" w:cs="Arial"/>
          <w:b/>
          <w:bCs/>
          <w:sz w:val="36"/>
          <w:szCs w:val="36"/>
        </w:rPr>
      </w:pPr>
    </w:p>
    <w:p w:rsidR="005F3ABE" w:rsidRDefault="005F3ABE" w:rsidP="005F3ABE">
      <w:pPr>
        <w:pStyle w:val="Default"/>
        <w:jc w:val="both"/>
        <w:rPr>
          <w:b/>
          <w:bCs/>
          <w:color w:val="auto"/>
          <w:sz w:val="22"/>
          <w:szCs w:val="22"/>
        </w:rPr>
      </w:pPr>
    </w:p>
    <w:p w:rsidR="005F3ABE" w:rsidRDefault="005F3ABE" w:rsidP="005F3ABE">
      <w:pPr>
        <w:pStyle w:val="Default"/>
        <w:jc w:val="both"/>
        <w:rPr>
          <w:b/>
          <w:bCs/>
          <w:color w:val="auto"/>
          <w:sz w:val="22"/>
          <w:szCs w:val="22"/>
        </w:rPr>
      </w:pPr>
    </w:p>
    <w:p w:rsidR="005F3ABE" w:rsidRDefault="005F3ABE" w:rsidP="005F3ABE">
      <w:pPr>
        <w:pStyle w:val="Default"/>
        <w:jc w:val="both"/>
        <w:rPr>
          <w:b/>
          <w:bCs/>
          <w:color w:val="auto"/>
          <w:sz w:val="22"/>
          <w:szCs w:val="22"/>
        </w:rPr>
      </w:pPr>
    </w:p>
    <w:p w:rsidR="00E376D3" w:rsidRDefault="00E376D3">
      <w:pPr>
        <w:rPr>
          <w:rFonts w:ascii="Arial" w:hAnsi="Arial" w:cs="Arial"/>
          <w:b/>
          <w:bCs/>
          <w:color w:val="000000"/>
        </w:rPr>
      </w:pPr>
      <w:r>
        <w:rPr>
          <w:b/>
          <w:bCs/>
        </w:rPr>
        <w:br w:type="page"/>
      </w:r>
    </w:p>
    <w:p w:rsidR="00841265" w:rsidRPr="005F3ABE" w:rsidRDefault="00841265" w:rsidP="001927BA">
      <w:pPr>
        <w:pStyle w:val="Default"/>
        <w:jc w:val="both"/>
        <w:rPr>
          <w:b/>
          <w:bCs/>
          <w:sz w:val="22"/>
          <w:szCs w:val="22"/>
        </w:rPr>
      </w:pPr>
      <w:r w:rsidRPr="005F3ABE">
        <w:rPr>
          <w:b/>
          <w:bCs/>
          <w:sz w:val="22"/>
          <w:szCs w:val="22"/>
        </w:rPr>
        <w:t xml:space="preserve">Portsmouth Water’s </w:t>
      </w:r>
      <w:r w:rsidR="00B629AF" w:rsidRPr="005F3ABE">
        <w:rPr>
          <w:b/>
          <w:bCs/>
          <w:sz w:val="22"/>
          <w:szCs w:val="22"/>
        </w:rPr>
        <w:t xml:space="preserve">Final </w:t>
      </w:r>
      <w:r w:rsidRPr="005F3ABE">
        <w:rPr>
          <w:b/>
          <w:bCs/>
          <w:sz w:val="22"/>
          <w:szCs w:val="22"/>
        </w:rPr>
        <w:t>A</w:t>
      </w:r>
      <w:r w:rsidR="00B629AF" w:rsidRPr="005F3ABE">
        <w:rPr>
          <w:b/>
          <w:bCs/>
          <w:sz w:val="22"/>
          <w:szCs w:val="22"/>
        </w:rPr>
        <w:t xml:space="preserve">ssurance </w:t>
      </w:r>
      <w:r w:rsidRPr="005F3ABE">
        <w:rPr>
          <w:b/>
          <w:bCs/>
          <w:sz w:val="22"/>
          <w:szCs w:val="22"/>
        </w:rPr>
        <w:t xml:space="preserve">Plan </w:t>
      </w:r>
      <w:r w:rsidR="0076296D">
        <w:rPr>
          <w:b/>
          <w:bCs/>
          <w:sz w:val="22"/>
          <w:szCs w:val="22"/>
        </w:rPr>
        <w:t>2018/19</w:t>
      </w:r>
    </w:p>
    <w:p w:rsidR="00841265" w:rsidRPr="005F3ABE" w:rsidRDefault="00841265" w:rsidP="001927BA">
      <w:pPr>
        <w:pStyle w:val="Default"/>
        <w:jc w:val="both"/>
        <w:rPr>
          <w:b/>
          <w:bCs/>
          <w:color w:val="auto"/>
          <w:sz w:val="22"/>
          <w:szCs w:val="22"/>
        </w:rPr>
      </w:pPr>
    </w:p>
    <w:p w:rsidR="00841265" w:rsidRPr="005F3ABE" w:rsidRDefault="00841265" w:rsidP="001927BA">
      <w:pPr>
        <w:pStyle w:val="Default"/>
        <w:jc w:val="both"/>
        <w:rPr>
          <w:b/>
          <w:bCs/>
          <w:color w:val="auto"/>
          <w:sz w:val="22"/>
          <w:szCs w:val="22"/>
        </w:rPr>
      </w:pPr>
      <w:r w:rsidRPr="005F3ABE">
        <w:rPr>
          <w:b/>
          <w:bCs/>
          <w:color w:val="auto"/>
          <w:sz w:val="22"/>
          <w:szCs w:val="22"/>
        </w:rPr>
        <w:t xml:space="preserve">About this document </w:t>
      </w:r>
    </w:p>
    <w:p w:rsidR="00841265" w:rsidRPr="005F3ABE" w:rsidRDefault="00841265" w:rsidP="001927BA">
      <w:pPr>
        <w:pStyle w:val="Default"/>
        <w:jc w:val="both"/>
        <w:rPr>
          <w:color w:val="auto"/>
          <w:sz w:val="22"/>
          <w:szCs w:val="22"/>
        </w:rPr>
      </w:pPr>
    </w:p>
    <w:p w:rsidR="00B629AF" w:rsidRPr="00E376D3" w:rsidRDefault="00860BAF" w:rsidP="00E376D3">
      <w:pPr>
        <w:pStyle w:val="paragraph"/>
        <w:textAlignment w:val="baseline"/>
        <w:rPr>
          <w:rFonts w:ascii="Arial" w:hAnsi="Arial" w:cs="Arial"/>
          <w:sz w:val="22"/>
          <w:szCs w:val="22"/>
        </w:rPr>
      </w:pPr>
      <w:r w:rsidRPr="00E376D3">
        <w:rPr>
          <w:rFonts w:ascii="Arial" w:hAnsi="Arial" w:cs="Arial"/>
          <w:sz w:val="22"/>
          <w:szCs w:val="22"/>
          <w:lang w:eastAsia="en-US"/>
        </w:rPr>
        <w:t xml:space="preserve">The Company are publishing this document one month later than normal having reviewed correspondence from Ofwat </w:t>
      </w:r>
      <w:r w:rsidRPr="00E376D3">
        <w:rPr>
          <w:rFonts w:ascii="Arial" w:hAnsi="Arial" w:cs="Arial"/>
          <w:sz w:val="22"/>
          <w:szCs w:val="22"/>
        </w:rPr>
        <w:t>that they will not penalise companies that publish their annual assurance plan for 2018-19 by the end of April 2019 in any future company monitoring framework assessment.</w:t>
      </w:r>
      <w:r w:rsidR="00E376D3" w:rsidRPr="00E376D3">
        <w:rPr>
          <w:rFonts w:ascii="Arial" w:hAnsi="Arial" w:cs="Arial"/>
          <w:sz w:val="22"/>
          <w:szCs w:val="22"/>
        </w:rPr>
        <w:t xml:space="preserve">  This has allowed the Company to fully review feedback from </w:t>
      </w:r>
      <w:r w:rsidR="007367C8">
        <w:rPr>
          <w:rFonts w:ascii="Arial" w:hAnsi="Arial" w:cs="Arial"/>
          <w:sz w:val="22"/>
          <w:szCs w:val="22"/>
        </w:rPr>
        <w:t xml:space="preserve">all </w:t>
      </w:r>
      <w:r w:rsidR="00E376D3" w:rsidRPr="00E376D3">
        <w:rPr>
          <w:rFonts w:ascii="Arial" w:hAnsi="Arial" w:cs="Arial"/>
          <w:sz w:val="22"/>
          <w:szCs w:val="22"/>
        </w:rPr>
        <w:t xml:space="preserve">stakeholders </w:t>
      </w:r>
      <w:r w:rsidR="007367C8">
        <w:rPr>
          <w:rFonts w:ascii="Arial" w:hAnsi="Arial" w:cs="Arial"/>
          <w:sz w:val="22"/>
          <w:szCs w:val="22"/>
        </w:rPr>
        <w:t>on its draft Assurance Plan</w:t>
      </w:r>
      <w:r w:rsidR="002704EC">
        <w:rPr>
          <w:rFonts w:ascii="Arial" w:hAnsi="Arial" w:cs="Arial"/>
          <w:sz w:val="22"/>
          <w:szCs w:val="22"/>
        </w:rPr>
        <w:t>, and</w:t>
      </w:r>
      <w:r w:rsidR="00253C40">
        <w:rPr>
          <w:rFonts w:ascii="Arial" w:hAnsi="Arial" w:cs="Arial"/>
          <w:sz w:val="22"/>
          <w:szCs w:val="22"/>
        </w:rPr>
        <w:t xml:space="preserve"> to consider feedback from Ofwat in the Initial Assessment of Plans (IAP)</w:t>
      </w:r>
      <w:r w:rsidR="007367C8">
        <w:rPr>
          <w:rFonts w:ascii="Arial" w:hAnsi="Arial" w:cs="Arial"/>
          <w:sz w:val="22"/>
          <w:szCs w:val="22"/>
        </w:rPr>
        <w:t xml:space="preserve"> </w:t>
      </w:r>
      <w:r w:rsidR="00E376D3" w:rsidRPr="00E376D3">
        <w:rPr>
          <w:rFonts w:ascii="Arial" w:hAnsi="Arial" w:cs="Arial"/>
          <w:sz w:val="22"/>
          <w:szCs w:val="22"/>
        </w:rPr>
        <w:t xml:space="preserve">before publishing this our Final Assurance Plan for </w:t>
      </w:r>
      <w:r w:rsidR="0076296D" w:rsidRPr="00E376D3">
        <w:rPr>
          <w:rFonts w:ascii="Arial" w:hAnsi="Arial" w:cs="Arial"/>
          <w:sz w:val="22"/>
          <w:szCs w:val="22"/>
        </w:rPr>
        <w:t>2018/19</w:t>
      </w:r>
      <w:r w:rsidR="00841265" w:rsidRPr="00E376D3">
        <w:rPr>
          <w:rFonts w:ascii="Arial" w:hAnsi="Arial" w:cs="Arial"/>
          <w:sz w:val="22"/>
          <w:szCs w:val="22"/>
        </w:rPr>
        <w:t xml:space="preserve">. </w:t>
      </w:r>
      <w:r w:rsidR="00B629AF" w:rsidRPr="00E376D3">
        <w:rPr>
          <w:rFonts w:ascii="Arial" w:hAnsi="Arial" w:cs="Arial"/>
          <w:sz w:val="22"/>
          <w:szCs w:val="22"/>
        </w:rPr>
        <w:t>This is the third and concluding document in th</w:t>
      </w:r>
      <w:r w:rsidR="00E376D3" w:rsidRPr="00E376D3">
        <w:rPr>
          <w:rFonts w:ascii="Arial" w:hAnsi="Arial" w:cs="Arial"/>
          <w:sz w:val="22"/>
          <w:szCs w:val="22"/>
        </w:rPr>
        <w:t>e Company Monitoring Process</w:t>
      </w:r>
      <w:r w:rsidR="00253C40">
        <w:rPr>
          <w:rFonts w:ascii="Arial" w:hAnsi="Arial" w:cs="Arial"/>
          <w:sz w:val="22"/>
          <w:szCs w:val="22"/>
        </w:rPr>
        <w:t xml:space="preserve"> for 2018/19</w:t>
      </w:r>
      <w:r w:rsidR="00B629AF" w:rsidRPr="00E376D3">
        <w:rPr>
          <w:rFonts w:ascii="Arial" w:hAnsi="Arial" w:cs="Arial"/>
          <w:sz w:val="22"/>
          <w:szCs w:val="22"/>
        </w:rPr>
        <w:t>.</w:t>
      </w:r>
    </w:p>
    <w:p w:rsidR="00735D0A" w:rsidRPr="00E376D3" w:rsidRDefault="00735D0A" w:rsidP="001927BA">
      <w:pPr>
        <w:autoSpaceDE w:val="0"/>
        <w:autoSpaceDN w:val="0"/>
        <w:adjustRightInd w:val="0"/>
        <w:spacing w:after="0" w:line="240" w:lineRule="auto"/>
        <w:jc w:val="both"/>
        <w:rPr>
          <w:rFonts w:ascii="Arial" w:hAnsi="Arial" w:cs="Arial"/>
          <w:color w:val="000000"/>
        </w:rPr>
      </w:pPr>
    </w:p>
    <w:p w:rsidR="00E06DFC" w:rsidRPr="00654454" w:rsidRDefault="00E06DFC" w:rsidP="00E06DFC">
      <w:pPr>
        <w:autoSpaceDE w:val="0"/>
        <w:autoSpaceDN w:val="0"/>
        <w:adjustRightInd w:val="0"/>
        <w:spacing w:after="0" w:line="240" w:lineRule="auto"/>
        <w:rPr>
          <w:rFonts w:ascii="Arial" w:hAnsi="Arial" w:cs="Arial"/>
          <w:color w:val="000000"/>
        </w:rPr>
      </w:pPr>
      <w:r w:rsidRPr="00E376D3">
        <w:rPr>
          <w:rFonts w:ascii="Arial" w:hAnsi="Arial" w:cs="Arial"/>
          <w:color w:val="000000"/>
        </w:rPr>
        <w:t xml:space="preserve">The first stage of the exercise was to consult on a Statement of Risks, Strengths and Weaknesses (the “Statement”) and invite comments from customers and other stakeholders </w:t>
      </w:r>
      <w:r w:rsidRPr="00654454">
        <w:rPr>
          <w:rFonts w:ascii="Arial" w:hAnsi="Arial" w:cs="Arial"/>
          <w:color w:val="000000"/>
        </w:rPr>
        <w:t xml:space="preserve">on: </w:t>
      </w:r>
    </w:p>
    <w:p w:rsidR="00E06DFC" w:rsidRPr="00654454" w:rsidRDefault="00E06DFC" w:rsidP="00E06DFC">
      <w:pPr>
        <w:autoSpaceDE w:val="0"/>
        <w:autoSpaceDN w:val="0"/>
        <w:adjustRightInd w:val="0"/>
        <w:spacing w:after="0" w:line="240" w:lineRule="auto"/>
        <w:rPr>
          <w:rFonts w:ascii="Arial" w:hAnsi="Arial" w:cs="Arial"/>
          <w:color w:val="000000"/>
        </w:rPr>
      </w:pPr>
    </w:p>
    <w:p w:rsidR="00E06DFC" w:rsidRPr="00654454" w:rsidRDefault="00E06DFC" w:rsidP="00944ED0">
      <w:pPr>
        <w:pStyle w:val="ListParagraph"/>
        <w:numPr>
          <w:ilvl w:val="0"/>
          <w:numId w:val="2"/>
        </w:numPr>
        <w:autoSpaceDE w:val="0"/>
        <w:autoSpaceDN w:val="0"/>
        <w:adjustRightInd w:val="0"/>
        <w:spacing w:after="0" w:line="240" w:lineRule="auto"/>
        <w:rPr>
          <w:rFonts w:ascii="Arial" w:hAnsi="Arial" w:cs="Arial"/>
          <w:color w:val="000000"/>
        </w:rPr>
      </w:pPr>
      <w:r w:rsidRPr="00654454">
        <w:rPr>
          <w:rFonts w:ascii="Arial" w:hAnsi="Arial" w:cs="Arial"/>
          <w:color w:val="000000"/>
        </w:rPr>
        <w:t xml:space="preserve">the overall approach to the risk assessment undertaken; </w:t>
      </w:r>
    </w:p>
    <w:p w:rsidR="00E06DFC" w:rsidRPr="00654454" w:rsidRDefault="00E06DFC" w:rsidP="00944ED0">
      <w:pPr>
        <w:pStyle w:val="ListParagraph"/>
        <w:numPr>
          <w:ilvl w:val="0"/>
          <w:numId w:val="2"/>
        </w:numPr>
        <w:autoSpaceDE w:val="0"/>
        <w:autoSpaceDN w:val="0"/>
        <w:adjustRightInd w:val="0"/>
        <w:spacing w:after="0" w:line="240" w:lineRule="auto"/>
        <w:rPr>
          <w:rFonts w:ascii="Arial" w:hAnsi="Arial" w:cs="Arial"/>
          <w:color w:val="000000"/>
        </w:rPr>
      </w:pPr>
      <w:r w:rsidRPr="00654454">
        <w:rPr>
          <w:rFonts w:ascii="Arial" w:hAnsi="Arial" w:cs="Arial"/>
          <w:color w:val="000000"/>
        </w:rPr>
        <w:t xml:space="preserve">whether or not they agreed with our assessment of the Risks, Strengths and Weaknesses highlighted in the Statement; and </w:t>
      </w:r>
    </w:p>
    <w:p w:rsidR="00E06DFC" w:rsidRPr="00654454" w:rsidRDefault="00E06DFC" w:rsidP="00944ED0">
      <w:pPr>
        <w:pStyle w:val="ListParagraph"/>
        <w:numPr>
          <w:ilvl w:val="0"/>
          <w:numId w:val="2"/>
        </w:numPr>
        <w:autoSpaceDE w:val="0"/>
        <w:autoSpaceDN w:val="0"/>
        <w:adjustRightInd w:val="0"/>
        <w:spacing w:after="0" w:line="240" w:lineRule="auto"/>
        <w:rPr>
          <w:rFonts w:ascii="Arial" w:hAnsi="Arial" w:cs="Arial"/>
          <w:color w:val="000000"/>
        </w:rPr>
      </w:pPr>
      <w:r w:rsidRPr="00654454">
        <w:rPr>
          <w:rFonts w:ascii="Arial" w:hAnsi="Arial" w:cs="Arial"/>
          <w:color w:val="000000"/>
        </w:rPr>
        <w:t xml:space="preserve">which particular Performance Measure was </w:t>
      </w:r>
      <w:r w:rsidR="00D85619">
        <w:rPr>
          <w:rFonts w:ascii="Arial" w:hAnsi="Arial" w:cs="Arial"/>
          <w:color w:val="000000"/>
        </w:rPr>
        <w:t>of greatest importance to them</w:t>
      </w:r>
    </w:p>
    <w:p w:rsidR="00E06DFC" w:rsidRPr="00654454" w:rsidRDefault="00E06DFC" w:rsidP="00E06DFC">
      <w:pPr>
        <w:autoSpaceDE w:val="0"/>
        <w:autoSpaceDN w:val="0"/>
        <w:adjustRightInd w:val="0"/>
        <w:spacing w:after="0" w:line="240" w:lineRule="auto"/>
        <w:rPr>
          <w:rFonts w:ascii="Arial" w:hAnsi="Arial" w:cs="Arial"/>
          <w:color w:val="000000"/>
        </w:rPr>
      </w:pPr>
    </w:p>
    <w:p w:rsidR="00E06DFC" w:rsidRPr="00654454" w:rsidRDefault="00E06DFC" w:rsidP="00E06DFC">
      <w:pPr>
        <w:autoSpaceDE w:val="0"/>
        <w:autoSpaceDN w:val="0"/>
        <w:adjustRightInd w:val="0"/>
        <w:spacing w:after="0" w:line="240" w:lineRule="auto"/>
        <w:rPr>
          <w:rFonts w:ascii="Arial" w:hAnsi="Arial" w:cs="Arial"/>
          <w:color w:val="000000"/>
        </w:rPr>
      </w:pPr>
      <w:r w:rsidRPr="00654454">
        <w:rPr>
          <w:rFonts w:ascii="Arial" w:hAnsi="Arial" w:cs="Arial"/>
          <w:color w:val="000000"/>
        </w:rPr>
        <w:t xml:space="preserve">The consultation closed formally on the 20 December 2018. The outputs of this exercise have been used to inform the proposed assurance activities. </w:t>
      </w:r>
    </w:p>
    <w:p w:rsidR="00E06DFC" w:rsidRPr="00654454" w:rsidRDefault="00E06DFC" w:rsidP="00E06DFC">
      <w:pPr>
        <w:autoSpaceDE w:val="0"/>
        <w:autoSpaceDN w:val="0"/>
        <w:adjustRightInd w:val="0"/>
        <w:spacing w:after="0" w:line="240" w:lineRule="auto"/>
        <w:rPr>
          <w:rFonts w:ascii="Arial" w:hAnsi="Arial" w:cs="Arial"/>
          <w:color w:val="000000"/>
        </w:rPr>
      </w:pPr>
    </w:p>
    <w:p w:rsidR="00E06DFC" w:rsidRDefault="00E06DFC" w:rsidP="00E06DFC">
      <w:pPr>
        <w:autoSpaceDE w:val="0"/>
        <w:autoSpaceDN w:val="0"/>
        <w:adjustRightInd w:val="0"/>
        <w:spacing w:after="0" w:line="240" w:lineRule="auto"/>
        <w:rPr>
          <w:rFonts w:ascii="Arial" w:hAnsi="Arial" w:cs="Arial"/>
          <w:color w:val="000000"/>
        </w:rPr>
      </w:pPr>
      <w:r w:rsidRPr="00654454">
        <w:rPr>
          <w:rFonts w:ascii="Arial" w:hAnsi="Arial" w:cs="Arial"/>
          <w:color w:val="000000"/>
        </w:rPr>
        <w:t xml:space="preserve">Having discussed our process and the Statement with a number of key stakeholders and having regard to written comments received from Ofwat in particular, we </w:t>
      </w:r>
      <w:r>
        <w:rPr>
          <w:rFonts w:ascii="Arial" w:hAnsi="Arial" w:cs="Arial"/>
          <w:color w:val="000000"/>
        </w:rPr>
        <w:t xml:space="preserve">have consulted upon our </w:t>
      </w:r>
      <w:r w:rsidRPr="00654454">
        <w:rPr>
          <w:rFonts w:ascii="Arial" w:hAnsi="Arial" w:cs="Arial"/>
          <w:color w:val="000000"/>
        </w:rPr>
        <w:t>draft Assurance Plan (the “Draft Plan”)</w:t>
      </w:r>
      <w:r>
        <w:rPr>
          <w:rFonts w:ascii="Arial" w:hAnsi="Arial" w:cs="Arial"/>
          <w:color w:val="000000"/>
        </w:rPr>
        <w:t xml:space="preserve">.  The consultation closed on </w:t>
      </w:r>
      <w:r w:rsidR="007367C8">
        <w:rPr>
          <w:rFonts w:ascii="Arial" w:hAnsi="Arial" w:cs="Arial"/>
          <w:color w:val="000000"/>
        </w:rPr>
        <w:t>22</w:t>
      </w:r>
      <w:r w:rsidRPr="007367C8">
        <w:rPr>
          <w:rFonts w:ascii="Arial" w:hAnsi="Arial" w:cs="Arial"/>
          <w:color w:val="000000"/>
        </w:rPr>
        <w:t xml:space="preserve"> March 2019.</w:t>
      </w:r>
      <w:r>
        <w:rPr>
          <w:rFonts w:ascii="Arial" w:hAnsi="Arial" w:cs="Arial"/>
          <w:color w:val="000000"/>
        </w:rPr>
        <w:t xml:space="preserve"> </w:t>
      </w:r>
    </w:p>
    <w:p w:rsidR="00E06DFC" w:rsidRPr="00654454" w:rsidRDefault="00E06DFC" w:rsidP="00E06DFC">
      <w:pPr>
        <w:autoSpaceDE w:val="0"/>
        <w:autoSpaceDN w:val="0"/>
        <w:adjustRightInd w:val="0"/>
        <w:spacing w:after="0" w:line="240" w:lineRule="auto"/>
        <w:rPr>
          <w:rFonts w:ascii="Arial" w:hAnsi="Arial" w:cs="Arial"/>
          <w:color w:val="000000"/>
        </w:rPr>
      </w:pPr>
    </w:p>
    <w:p w:rsidR="00E06DFC" w:rsidRPr="00654454" w:rsidRDefault="00E06DFC" w:rsidP="00E06DFC">
      <w:pPr>
        <w:autoSpaceDE w:val="0"/>
        <w:autoSpaceDN w:val="0"/>
        <w:adjustRightInd w:val="0"/>
        <w:spacing w:after="0" w:line="240" w:lineRule="auto"/>
        <w:rPr>
          <w:rFonts w:ascii="Arial" w:hAnsi="Arial" w:cs="Arial"/>
          <w:color w:val="000000"/>
        </w:rPr>
      </w:pPr>
      <w:r w:rsidRPr="00654454">
        <w:rPr>
          <w:rFonts w:ascii="Arial" w:hAnsi="Arial" w:cs="Arial"/>
          <w:color w:val="000000"/>
        </w:rPr>
        <w:t xml:space="preserve">This </w:t>
      </w:r>
      <w:r>
        <w:rPr>
          <w:rFonts w:ascii="Arial" w:hAnsi="Arial" w:cs="Arial"/>
          <w:color w:val="000000"/>
        </w:rPr>
        <w:t xml:space="preserve">Final Audit </w:t>
      </w:r>
      <w:r w:rsidRPr="00654454">
        <w:rPr>
          <w:rFonts w:ascii="Arial" w:hAnsi="Arial" w:cs="Arial"/>
          <w:color w:val="000000"/>
        </w:rPr>
        <w:t xml:space="preserve">Plan explains what we are </w:t>
      </w:r>
      <w:r>
        <w:rPr>
          <w:rFonts w:ascii="Arial" w:hAnsi="Arial" w:cs="Arial"/>
          <w:color w:val="000000"/>
        </w:rPr>
        <w:t xml:space="preserve">proposing </w:t>
      </w:r>
      <w:r w:rsidRPr="00654454">
        <w:rPr>
          <w:rFonts w:ascii="Arial" w:hAnsi="Arial" w:cs="Arial"/>
          <w:color w:val="000000"/>
        </w:rPr>
        <w:t xml:space="preserve">to provide assurance </w:t>
      </w:r>
      <w:r w:rsidR="00253C40">
        <w:rPr>
          <w:rFonts w:ascii="Arial" w:hAnsi="Arial" w:cs="Arial"/>
          <w:color w:val="000000"/>
        </w:rPr>
        <w:t xml:space="preserve">against for the </w:t>
      </w:r>
      <w:r w:rsidRPr="00654454">
        <w:rPr>
          <w:rFonts w:ascii="Arial" w:hAnsi="Arial" w:cs="Arial"/>
          <w:color w:val="000000"/>
        </w:rPr>
        <w:t xml:space="preserve">information we will publish in our 2018/19 Annual Performance Report, </w:t>
      </w:r>
      <w:r w:rsidR="00253C40">
        <w:rPr>
          <w:rFonts w:ascii="Arial" w:hAnsi="Arial" w:cs="Arial"/>
          <w:color w:val="000000"/>
        </w:rPr>
        <w:t xml:space="preserve">to ensure it </w:t>
      </w:r>
      <w:r w:rsidRPr="00654454">
        <w:rPr>
          <w:rFonts w:ascii="Arial" w:hAnsi="Arial" w:cs="Arial"/>
          <w:color w:val="000000"/>
        </w:rPr>
        <w:t xml:space="preserve">is reliable and complete. In this document we consider the assurance in terms of two categories of data; ‘financial’ and ‘non-financial’. Non-financial data in the APR </w:t>
      </w:r>
      <w:r w:rsidRPr="00654454">
        <w:rPr>
          <w:rFonts w:ascii="Arial" w:hAnsi="Arial" w:cs="Arial"/>
          <w:bCs/>
        </w:rPr>
        <w:t>primarily consists of the Performance Measures which are the service level commitments we have made to our customers,</w:t>
      </w:r>
      <w:r w:rsidRPr="00654454">
        <w:rPr>
          <w:rFonts w:ascii="Arial" w:hAnsi="Arial" w:cs="Arial"/>
          <w:color w:val="000000"/>
        </w:rPr>
        <w:t xml:space="preserve"> whilst financial data is reported on through the audit of the APR Financial tables by the financial auditors. </w:t>
      </w:r>
    </w:p>
    <w:p w:rsidR="00E06DFC" w:rsidRPr="00654454" w:rsidRDefault="00E06DFC" w:rsidP="00E06DFC">
      <w:pPr>
        <w:autoSpaceDE w:val="0"/>
        <w:autoSpaceDN w:val="0"/>
        <w:adjustRightInd w:val="0"/>
        <w:spacing w:after="0" w:line="240" w:lineRule="auto"/>
        <w:rPr>
          <w:rFonts w:ascii="Arial" w:hAnsi="Arial" w:cs="Arial"/>
          <w:color w:val="000000"/>
        </w:rPr>
      </w:pPr>
    </w:p>
    <w:p w:rsidR="00E06DFC" w:rsidRPr="00654454" w:rsidRDefault="00E06DFC" w:rsidP="00E06DFC">
      <w:pPr>
        <w:autoSpaceDE w:val="0"/>
        <w:autoSpaceDN w:val="0"/>
        <w:adjustRightInd w:val="0"/>
        <w:spacing w:after="0" w:line="240" w:lineRule="auto"/>
        <w:rPr>
          <w:rFonts w:ascii="Arial" w:hAnsi="Arial" w:cs="Arial"/>
          <w:b/>
          <w:bCs/>
        </w:rPr>
      </w:pPr>
      <w:r w:rsidRPr="00654454">
        <w:rPr>
          <w:rFonts w:ascii="Arial" w:hAnsi="Arial" w:cs="Arial"/>
          <w:color w:val="000000"/>
        </w:rPr>
        <w:t>Th</w:t>
      </w:r>
      <w:r w:rsidR="007367C8">
        <w:rPr>
          <w:rFonts w:ascii="Arial" w:hAnsi="Arial" w:cs="Arial"/>
          <w:color w:val="000000"/>
        </w:rPr>
        <w:t>e</w:t>
      </w:r>
      <w:r w:rsidRPr="00654454">
        <w:rPr>
          <w:rFonts w:ascii="Arial" w:hAnsi="Arial" w:cs="Arial"/>
          <w:color w:val="000000"/>
        </w:rPr>
        <w:t xml:space="preserve"> data referred to in this assurance plan has been used as part of our Business Plan we submitted to Ofwat in September 2018</w:t>
      </w:r>
      <w:r w:rsidR="007367C8">
        <w:rPr>
          <w:rFonts w:ascii="Arial" w:hAnsi="Arial" w:cs="Arial"/>
          <w:color w:val="000000"/>
        </w:rPr>
        <w:t xml:space="preserve"> and </w:t>
      </w:r>
      <w:r w:rsidR="00253C40">
        <w:rPr>
          <w:rFonts w:ascii="Arial" w:hAnsi="Arial" w:cs="Arial"/>
          <w:color w:val="000000"/>
        </w:rPr>
        <w:t xml:space="preserve">April 2019 and </w:t>
      </w:r>
      <w:r w:rsidR="007367C8">
        <w:rPr>
          <w:rFonts w:ascii="Arial" w:hAnsi="Arial" w:cs="Arial"/>
          <w:color w:val="000000"/>
        </w:rPr>
        <w:t>will be used for the next Price Review Period, 2020-25</w:t>
      </w:r>
      <w:r w:rsidRPr="00654454">
        <w:rPr>
          <w:rFonts w:ascii="Arial" w:hAnsi="Arial" w:cs="Arial"/>
          <w:color w:val="000000"/>
        </w:rPr>
        <w:t>. It is has therefore been important that the performance data underpinning our future plans is well founded and has had appropriate third party assurance so that stakeholders can have trust and confidence in our Business Plan.</w:t>
      </w:r>
    </w:p>
    <w:p w:rsidR="00E06DFC" w:rsidRPr="00654454" w:rsidRDefault="00E06DFC" w:rsidP="00E06DFC">
      <w:pPr>
        <w:pStyle w:val="Default"/>
        <w:pBdr>
          <w:bottom w:val="single" w:sz="6" w:space="1" w:color="auto"/>
        </w:pBdr>
        <w:rPr>
          <w:b/>
          <w:bCs/>
          <w:color w:val="auto"/>
          <w:sz w:val="22"/>
          <w:szCs w:val="22"/>
        </w:rPr>
      </w:pPr>
    </w:p>
    <w:p w:rsidR="00B629AF" w:rsidRDefault="00E06DFC" w:rsidP="00E06DFC">
      <w:pPr>
        <w:pStyle w:val="Default"/>
        <w:pBdr>
          <w:bottom w:val="single" w:sz="6" w:space="1" w:color="auto"/>
        </w:pBdr>
        <w:rPr>
          <w:bCs/>
          <w:color w:val="auto"/>
          <w:sz w:val="22"/>
          <w:szCs w:val="22"/>
        </w:rPr>
      </w:pPr>
      <w:r w:rsidRPr="00654454">
        <w:rPr>
          <w:bCs/>
          <w:color w:val="auto"/>
          <w:sz w:val="22"/>
          <w:szCs w:val="22"/>
        </w:rPr>
        <w:t xml:space="preserve">The APR is a document required by Ofwat and published annually.  It contains both financial and non-financial information and is prepared in line with Regulatory Accounting Guidelines (RAGs) and other guidance published by Ofwat.  The financial components of the APR are subject to financial audit by our auditors KPMG in line with UK auditing standards and the RAGs.  </w:t>
      </w:r>
      <w:r w:rsidR="00253C40">
        <w:rPr>
          <w:bCs/>
          <w:color w:val="auto"/>
          <w:sz w:val="22"/>
          <w:szCs w:val="22"/>
        </w:rPr>
        <w:t>The non-financial components are assured by our “Reporter”, Atkins.</w:t>
      </w:r>
    </w:p>
    <w:p w:rsidR="00E06DFC" w:rsidRDefault="00E06DFC" w:rsidP="00E06DFC">
      <w:pPr>
        <w:pStyle w:val="Default"/>
        <w:pBdr>
          <w:bottom w:val="single" w:sz="6" w:space="1" w:color="auto"/>
        </w:pBdr>
        <w:rPr>
          <w:bCs/>
          <w:color w:val="auto"/>
          <w:sz w:val="22"/>
          <w:szCs w:val="22"/>
        </w:rPr>
      </w:pPr>
    </w:p>
    <w:p w:rsidR="00E06DFC" w:rsidRDefault="00E06DFC" w:rsidP="00E06DFC">
      <w:pPr>
        <w:pStyle w:val="Default"/>
        <w:pBdr>
          <w:bottom w:val="single" w:sz="6" w:space="1" w:color="auto"/>
        </w:pBdr>
        <w:rPr>
          <w:bCs/>
          <w:color w:val="auto"/>
          <w:sz w:val="22"/>
          <w:szCs w:val="22"/>
        </w:rPr>
      </w:pPr>
    </w:p>
    <w:p w:rsidR="00E06DFC" w:rsidRDefault="00E06DFC" w:rsidP="00E06DFC">
      <w:pPr>
        <w:pStyle w:val="Default"/>
        <w:pBdr>
          <w:bottom w:val="single" w:sz="6" w:space="1" w:color="auto"/>
        </w:pBdr>
        <w:rPr>
          <w:bCs/>
          <w:color w:val="auto"/>
          <w:sz w:val="22"/>
          <w:szCs w:val="22"/>
        </w:rPr>
      </w:pPr>
    </w:p>
    <w:p w:rsidR="00E06DFC" w:rsidRDefault="00E06DFC" w:rsidP="00E06DFC">
      <w:pPr>
        <w:pStyle w:val="Default"/>
        <w:pBdr>
          <w:bottom w:val="single" w:sz="6" w:space="1" w:color="auto"/>
        </w:pBdr>
        <w:rPr>
          <w:bCs/>
          <w:color w:val="auto"/>
          <w:sz w:val="22"/>
          <w:szCs w:val="22"/>
        </w:rPr>
      </w:pPr>
    </w:p>
    <w:p w:rsidR="00E06DFC" w:rsidRDefault="00E06DFC" w:rsidP="00E06DFC">
      <w:pPr>
        <w:pStyle w:val="Default"/>
        <w:pBdr>
          <w:bottom w:val="single" w:sz="6" w:space="1" w:color="auto"/>
        </w:pBdr>
        <w:rPr>
          <w:bCs/>
          <w:color w:val="auto"/>
          <w:sz w:val="22"/>
          <w:szCs w:val="22"/>
        </w:rPr>
      </w:pPr>
    </w:p>
    <w:p w:rsidR="00E06DFC" w:rsidRDefault="00E06DFC" w:rsidP="00E06DFC">
      <w:pPr>
        <w:pStyle w:val="Default"/>
        <w:pBdr>
          <w:bottom w:val="single" w:sz="6" w:space="1" w:color="auto"/>
        </w:pBdr>
        <w:rPr>
          <w:bCs/>
          <w:color w:val="auto"/>
          <w:sz w:val="22"/>
          <w:szCs w:val="22"/>
        </w:rPr>
      </w:pPr>
    </w:p>
    <w:p w:rsidR="004C0B41" w:rsidRDefault="004C0B41" w:rsidP="00E06DFC">
      <w:pPr>
        <w:pStyle w:val="Default"/>
        <w:pBdr>
          <w:bottom w:val="single" w:sz="6" w:space="1" w:color="auto"/>
        </w:pBdr>
        <w:rPr>
          <w:bCs/>
          <w:color w:val="auto"/>
          <w:sz w:val="22"/>
          <w:szCs w:val="22"/>
        </w:rPr>
      </w:pPr>
    </w:p>
    <w:p w:rsidR="00E06DFC" w:rsidRDefault="00E06DFC" w:rsidP="00E06DFC">
      <w:pPr>
        <w:rPr>
          <w:rFonts w:ascii="Arial" w:hAnsi="Arial" w:cs="Arial"/>
          <w:color w:val="000000"/>
        </w:rPr>
      </w:pPr>
    </w:p>
    <w:p w:rsidR="0037451E" w:rsidRPr="005F3ABE" w:rsidRDefault="0037451E" w:rsidP="00E06DFC">
      <w:pPr>
        <w:rPr>
          <w:rFonts w:ascii="Arial" w:hAnsi="Arial" w:cs="Arial"/>
          <w:color w:val="000000"/>
        </w:rPr>
      </w:pPr>
      <w:r w:rsidRPr="00E06DFC">
        <w:rPr>
          <w:rFonts w:ascii="Arial" w:hAnsi="Arial" w:cs="Arial"/>
          <w:color w:val="000000"/>
        </w:rPr>
        <w:t>We would like to thank all of our stakeholders who have commented on the previous t</w:t>
      </w:r>
      <w:r w:rsidR="00BB5A44" w:rsidRPr="00E06DFC">
        <w:rPr>
          <w:rFonts w:ascii="Arial" w:hAnsi="Arial" w:cs="Arial"/>
          <w:color w:val="000000"/>
        </w:rPr>
        <w:t>w</w:t>
      </w:r>
      <w:r w:rsidR="0025163E" w:rsidRPr="00E06DFC">
        <w:rPr>
          <w:rFonts w:ascii="Arial" w:hAnsi="Arial" w:cs="Arial"/>
          <w:color w:val="000000"/>
        </w:rPr>
        <w:t xml:space="preserve">o </w:t>
      </w:r>
      <w:r w:rsidR="0025163E" w:rsidRPr="005F3ABE">
        <w:rPr>
          <w:rFonts w:ascii="Arial" w:hAnsi="Arial" w:cs="Arial"/>
          <w:color w:val="000000"/>
        </w:rPr>
        <w:t xml:space="preserve">documents.  This has allowed us to publish this Final Assurance Plan for the data we will publish on our performance in </w:t>
      </w:r>
      <w:r w:rsidR="0076296D">
        <w:rPr>
          <w:rFonts w:ascii="Arial" w:hAnsi="Arial" w:cs="Arial"/>
          <w:color w:val="000000"/>
        </w:rPr>
        <w:t>2018/19</w:t>
      </w:r>
      <w:r w:rsidR="0025163E" w:rsidRPr="005F3ABE">
        <w:rPr>
          <w:rFonts w:ascii="Arial" w:hAnsi="Arial" w:cs="Arial"/>
          <w:color w:val="000000"/>
        </w:rPr>
        <w:t>.</w:t>
      </w:r>
    </w:p>
    <w:p w:rsidR="0076296D" w:rsidRDefault="0076296D" w:rsidP="00E31D5A">
      <w:pPr>
        <w:pStyle w:val="Default"/>
        <w:rPr>
          <w:bCs/>
          <w:color w:val="auto"/>
          <w:sz w:val="22"/>
          <w:szCs w:val="22"/>
        </w:rPr>
      </w:pPr>
    </w:p>
    <w:p w:rsidR="00E06DFC" w:rsidRDefault="00E06DFC" w:rsidP="00E31D5A">
      <w:pPr>
        <w:pStyle w:val="Default"/>
        <w:rPr>
          <w:bCs/>
          <w:color w:val="auto"/>
          <w:sz w:val="22"/>
          <w:szCs w:val="22"/>
        </w:rPr>
      </w:pPr>
    </w:p>
    <w:p w:rsidR="00EC59DE" w:rsidRDefault="00EC59DE" w:rsidP="00E31D5A">
      <w:pPr>
        <w:pStyle w:val="Default"/>
        <w:rPr>
          <w:bCs/>
          <w:color w:val="auto"/>
          <w:sz w:val="22"/>
          <w:szCs w:val="22"/>
        </w:rPr>
      </w:pPr>
      <w:r w:rsidRPr="00EC59DE">
        <w:rPr>
          <w:bCs/>
          <w:noProof/>
          <w:color w:val="auto"/>
          <w:sz w:val="22"/>
          <w:szCs w:val="22"/>
          <w:lang w:eastAsia="en-GB"/>
        </w:rPr>
        <w:drawing>
          <wp:inline distT="0" distB="0" distL="0" distR="0">
            <wp:extent cx="1733550" cy="489473"/>
            <wp:effectExtent l="0" t="0" r="0" b="6350"/>
            <wp:docPr id="1" name="Picture 1" descr="C:\Users\sm\AppData\Local\Microsoft\Windows\Temporary Internet Files\Content.Outlook\2VXRQ0IV\COFFIN_MIKE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ppData\Local\Microsoft\Windows\Temporary Internet Files\Content.Outlook\2VXRQ0IV\COFFIN_MIKE (002).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1655" cy="491761"/>
                    </a:xfrm>
                    <a:prstGeom prst="rect">
                      <a:avLst/>
                    </a:prstGeom>
                    <a:noFill/>
                    <a:ln>
                      <a:noFill/>
                    </a:ln>
                  </pic:spPr>
                </pic:pic>
              </a:graphicData>
            </a:graphic>
          </wp:inline>
        </w:drawing>
      </w:r>
    </w:p>
    <w:p w:rsidR="00EC59DE" w:rsidRDefault="00EC59DE" w:rsidP="00E31D5A">
      <w:pPr>
        <w:pStyle w:val="Default"/>
        <w:rPr>
          <w:bCs/>
          <w:color w:val="auto"/>
          <w:sz w:val="22"/>
          <w:szCs w:val="22"/>
        </w:rPr>
      </w:pPr>
    </w:p>
    <w:p w:rsidR="00E06DFC" w:rsidRDefault="00E06DFC" w:rsidP="00E31D5A">
      <w:pPr>
        <w:pStyle w:val="Default"/>
        <w:rPr>
          <w:bCs/>
          <w:color w:val="auto"/>
          <w:sz w:val="22"/>
          <w:szCs w:val="22"/>
        </w:rPr>
      </w:pPr>
    </w:p>
    <w:p w:rsidR="00E31D5A" w:rsidRPr="00286296" w:rsidRDefault="0076296D" w:rsidP="00E31D5A">
      <w:pPr>
        <w:pStyle w:val="Default"/>
        <w:rPr>
          <w:b/>
          <w:bCs/>
          <w:color w:val="auto"/>
          <w:sz w:val="22"/>
          <w:szCs w:val="22"/>
        </w:rPr>
      </w:pPr>
      <w:r>
        <w:rPr>
          <w:b/>
          <w:bCs/>
          <w:color w:val="auto"/>
          <w:sz w:val="22"/>
          <w:szCs w:val="22"/>
        </w:rPr>
        <w:t>Michael Coffin</w:t>
      </w:r>
      <w:r w:rsidR="00E31D5A" w:rsidRPr="00286296">
        <w:rPr>
          <w:b/>
          <w:bCs/>
          <w:color w:val="auto"/>
          <w:sz w:val="22"/>
          <w:szCs w:val="22"/>
        </w:rPr>
        <w:tab/>
      </w:r>
      <w:r w:rsidR="00E31D5A" w:rsidRPr="00286296">
        <w:rPr>
          <w:b/>
          <w:bCs/>
          <w:color w:val="auto"/>
          <w:sz w:val="22"/>
          <w:szCs w:val="22"/>
        </w:rPr>
        <w:tab/>
      </w:r>
      <w:r w:rsidR="00E31D5A" w:rsidRPr="00286296">
        <w:rPr>
          <w:b/>
          <w:bCs/>
          <w:color w:val="auto"/>
          <w:sz w:val="22"/>
          <w:szCs w:val="22"/>
        </w:rPr>
        <w:tab/>
      </w:r>
      <w:r w:rsidR="00E31D5A" w:rsidRPr="00286296">
        <w:rPr>
          <w:b/>
          <w:bCs/>
          <w:color w:val="auto"/>
          <w:sz w:val="22"/>
          <w:szCs w:val="22"/>
        </w:rPr>
        <w:tab/>
      </w:r>
      <w:r w:rsidR="00E31D5A" w:rsidRPr="00286296">
        <w:rPr>
          <w:b/>
          <w:bCs/>
          <w:color w:val="auto"/>
          <w:sz w:val="22"/>
          <w:szCs w:val="22"/>
        </w:rPr>
        <w:tab/>
      </w:r>
      <w:r w:rsidR="00E31D5A" w:rsidRPr="00286296">
        <w:rPr>
          <w:b/>
          <w:bCs/>
          <w:color w:val="auto"/>
          <w:sz w:val="22"/>
          <w:szCs w:val="22"/>
        </w:rPr>
        <w:tab/>
      </w:r>
    </w:p>
    <w:p w:rsidR="00E31D5A" w:rsidRDefault="00E31D5A" w:rsidP="00E31D5A">
      <w:pPr>
        <w:pStyle w:val="Default"/>
        <w:rPr>
          <w:b/>
          <w:bCs/>
          <w:color w:val="auto"/>
          <w:sz w:val="22"/>
          <w:szCs w:val="22"/>
        </w:rPr>
      </w:pPr>
      <w:r w:rsidRPr="00286296">
        <w:rPr>
          <w:b/>
          <w:bCs/>
          <w:color w:val="auto"/>
          <w:sz w:val="22"/>
          <w:szCs w:val="22"/>
        </w:rPr>
        <w:t xml:space="preserve">Non-Executive Director </w:t>
      </w:r>
      <w:r>
        <w:rPr>
          <w:b/>
          <w:bCs/>
          <w:color w:val="auto"/>
          <w:sz w:val="22"/>
          <w:szCs w:val="22"/>
        </w:rPr>
        <w:t>a</w:t>
      </w:r>
      <w:r w:rsidRPr="00286296">
        <w:rPr>
          <w:b/>
          <w:bCs/>
          <w:color w:val="auto"/>
          <w:sz w:val="22"/>
          <w:szCs w:val="22"/>
        </w:rPr>
        <w:t>nd Chair of Audit Committee</w:t>
      </w:r>
    </w:p>
    <w:p w:rsidR="00E31D5A" w:rsidRDefault="00E31D5A" w:rsidP="00E31D5A">
      <w:pPr>
        <w:pStyle w:val="Default"/>
        <w:rPr>
          <w:bCs/>
          <w:color w:val="auto"/>
          <w:sz w:val="22"/>
          <w:szCs w:val="22"/>
        </w:rPr>
      </w:pPr>
    </w:p>
    <w:p w:rsidR="00E31D5A" w:rsidRDefault="00E31D5A" w:rsidP="00E31D5A">
      <w:pPr>
        <w:pStyle w:val="Default"/>
        <w:rPr>
          <w:b/>
          <w:bCs/>
          <w:color w:val="auto"/>
          <w:sz w:val="22"/>
          <w:szCs w:val="22"/>
        </w:rPr>
      </w:pPr>
    </w:p>
    <w:p w:rsidR="00EC59DE" w:rsidRDefault="00EC59DE" w:rsidP="00E31D5A">
      <w:pPr>
        <w:pStyle w:val="Default"/>
        <w:rPr>
          <w:b/>
          <w:bCs/>
          <w:color w:val="auto"/>
          <w:sz w:val="22"/>
          <w:szCs w:val="22"/>
        </w:rPr>
      </w:pPr>
    </w:p>
    <w:p w:rsidR="00EC59DE" w:rsidRDefault="00EC59DE" w:rsidP="00E31D5A">
      <w:pPr>
        <w:pStyle w:val="Default"/>
        <w:rPr>
          <w:b/>
          <w:bCs/>
          <w:color w:val="auto"/>
          <w:sz w:val="22"/>
          <w:szCs w:val="22"/>
        </w:rPr>
      </w:pPr>
      <w:r w:rsidRPr="00EC59DE">
        <w:rPr>
          <w:b/>
          <w:bCs/>
          <w:noProof/>
          <w:color w:val="auto"/>
          <w:sz w:val="22"/>
          <w:szCs w:val="22"/>
          <w:lang w:eastAsia="en-GB"/>
        </w:rPr>
        <w:drawing>
          <wp:inline distT="0" distB="0" distL="0" distR="0">
            <wp:extent cx="1800225" cy="247650"/>
            <wp:effectExtent l="0" t="0" r="9525" b="0"/>
            <wp:docPr id="2" name="Picture 2" descr="C:\Users\sm\AppData\Local\Microsoft\Windows\Temporary Internet Files\Content.Outlook\2VXRQ0IV\Orton Signature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AppData\Local\Microsoft\Windows\Temporary Internet Files\Content.Outlook\2VXRQ0IV\Orton Signature (002).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247650"/>
                    </a:xfrm>
                    <a:prstGeom prst="rect">
                      <a:avLst/>
                    </a:prstGeom>
                    <a:noFill/>
                    <a:ln>
                      <a:noFill/>
                    </a:ln>
                  </pic:spPr>
                </pic:pic>
              </a:graphicData>
            </a:graphic>
          </wp:inline>
        </w:drawing>
      </w:r>
    </w:p>
    <w:p w:rsidR="00E31D5A" w:rsidRDefault="00E31D5A" w:rsidP="00E31D5A">
      <w:pPr>
        <w:pStyle w:val="Default"/>
        <w:rPr>
          <w:b/>
          <w:bCs/>
          <w:color w:val="auto"/>
          <w:sz w:val="22"/>
          <w:szCs w:val="22"/>
        </w:rPr>
      </w:pPr>
    </w:p>
    <w:p w:rsidR="00EC59DE" w:rsidRDefault="00EC59DE" w:rsidP="00E31D5A">
      <w:pPr>
        <w:pStyle w:val="Default"/>
        <w:rPr>
          <w:b/>
          <w:bCs/>
          <w:color w:val="auto"/>
          <w:sz w:val="22"/>
          <w:szCs w:val="22"/>
        </w:rPr>
      </w:pPr>
    </w:p>
    <w:p w:rsidR="00E31D5A" w:rsidRPr="00286296" w:rsidRDefault="00E31D5A" w:rsidP="00E31D5A">
      <w:pPr>
        <w:pStyle w:val="Default"/>
        <w:rPr>
          <w:b/>
          <w:bCs/>
          <w:color w:val="auto"/>
          <w:sz w:val="22"/>
          <w:szCs w:val="22"/>
        </w:rPr>
      </w:pPr>
      <w:r w:rsidRPr="00286296">
        <w:rPr>
          <w:b/>
          <w:bCs/>
          <w:color w:val="auto"/>
          <w:sz w:val="22"/>
          <w:szCs w:val="22"/>
        </w:rPr>
        <w:t>Helen Orton</w:t>
      </w:r>
    </w:p>
    <w:p w:rsidR="006256C9" w:rsidRDefault="00E31D5A" w:rsidP="00E376D3">
      <w:pPr>
        <w:pStyle w:val="Default"/>
        <w:pBdr>
          <w:bottom w:val="single" w:sz="6" w:space="31" w:color="auto"/>
        </w:pBdr>
        <w:rPr>
          <w:b/>
          <w:bCs/>
          <w:color w:val="auto"/>
          <w:sz w:val="22"/>
          <w:szCs w:val="22"/>
        </w:rPr>
      </w:pPr>
      <w:r w:rsidRPr="00286296">
        <w:rPr>
          <w:b/>
          <w:bCs/>
          <w:color w:val="auto"/>
          <w:sz w:val="22"/>
          <w:szCs w:val="22"/>
        </w:rPr>
        <w:t>Finance &amp; Regulation Director</w:t>
      </w:r>
    </w:p>
    <w:p w:rsidR="00E376D3" w:rsidRDefault="00E376D3" w:rsidP="00E376D3">
      <w:pPr>
        <w:pStyle w:val="Default"/>
        <w:pBdr>
          <w:bottom w:val="single" w:sz="6" w:space="31" w:color="auto"/>
        </w:pBdr>
        <w:rPr>
          <w:b/>
          <w:bCs/>
          <w:color w:val="auto"/>
          <w:sz w:val="22"/>
          <w:szCs w:val="22"/>
        </w:rPr>
      </w:pPr>
    </w:p>
    <w:p w:rsidR="00E376D3" w:rsidRDefault="00E376D3" w:rsidP="00E376D3">
      <w:pPr>
        <w:pStyle w:val="Default"/>
        <w:pBdr>
          <w:bottom w:val="single" w:sz="6" w:space="31" w:color="auto"/>
        </w:pBdr>
        <w:rPr>
          <w:b/>
          <w:bCs/>
          <w:color w:val="auto"/>
          <w:sz w:val="22"/>
          <w:szCs w:val="22"/>
        </w:rPr>
      </w:pPr>
    </w:p>
    <w:p w:rsidR="00E376D3" w:rsidRDefault="00E376D3" w:rsidP="00E376D3">
      <w:pPr>
        <w:pStyle w:val="Default"/>
        <w:pBdr>
          <w:bottom w:val="single" w:sz="6" w:space="31" w:color="auto"/>
        </w:pBdr>
        <w:rPr>
          <w:b/>
          <w:bCs/>
          <w:color w:val="auto"/>
          <w:sz w:val="22"/>
          <w:szCs w:val="22"/>
        </w:rPr>
      </w:pPr>
    </w:p>
    <w:p w:rsidR="00E376D3" w:rsidRDefault="00E376D3" w:rsidP="00E376D3">
      <w:pPr>
        <w:pStyle w:val="Default"/>
        <w:pBdr>
          <w:bottom w:val="single" w:sz="6" w:space="31" w:color="auto"/>
        </w:pBdr>
        <w:rPr>
          <w:b/>
          <w:bCs/>
          <w:color w:val="auto"/>
          <w:sz w:val="22"/>
          <w:szCs w:val="22"/>
        </w:rPr>
      </w:pPr>
    </w:p>
    <w:p w:rsidR="00E376D3" w:rsidRDefault="00E376D3" w:rsidP="00E376D3">
      <w:pPr>
        <w:pStyle w:val="Default"/>
        <w:pBdr>
          <w:bottom w:val="single" w:sz="6" w:space="31" w:color="auto"/>
        </w:pBdr>
        <w:rPr>
          <w:b/>
          <w:bCs/>
          <w:color w:val="auto"/>
          <w:sz w:val="22"/>
          <w:szCs w:val="22"/>
        </w:rPr>
      </w:pPr>
    </w:p>
    <w:p w:rsidR="00E376D3" w:rsidRDefault="00E376D3" w:rsidP="00E376D3">
      <w:pPr>
        <w:pStyle w:val="Default"/>
        <w:pBdr>
          <w:bottom w:val="single" w:sz="6" w:space="31" w:color="auto"/>
        </w:pBdr>
        <w:rPr>
          <w:b/>
          <w:bCs/>
          <w:color w:val="auto"/>
          <w:sz w:val="22"/>
          <w:szCs w:val="22"/>
        </w:rPr>
      </w:pPr>
    </w:p>
    <w:p w:rsidR="00E376D3" w:rsidRDefault="00E376D3" w:rsidP="00E376D3">
      <w:pPr>
        <w:pStyle w:val="Default"/>
        <w:pBdr>
          <w:bottom w:val="single" w:sz="6" w:space="31" w:color="auto"/>
        </w:pBdr>
        <w:rPr>
          <w:b/>
          <w:bCs/>
          <w:color w:val="auto"/>
          <w:sz w:val="22"/>
          <w:szCs w:val="22"/>
        </w:rPr>
      </w:pPr>
    </w:p>
    <w:p w:rsidR="00E376D3" w:rsidRDefault="00E376D3" w:rsidP="00E376D3">
      <w:pPr>
        <w:pStyle w:val="Default"/>
        <w:pBdr>
          <w:bottom w:val="single" w:sz="6" w:space="31" w:color="auto"/>
        </w:pBdr>
        <w:rPr>
          <w:b/>
          <w:bCs/>
          <w:color w:val="auto"/>
          <w:sz w:val="22"/>
          <w:szCs w:val="22"/>
        </w:rPr>
      </w:pPr>
    </w:p>
    <w:p w:rsidR="00E376D3" w:rsidRDefault="00E376D3" w:rsidP="00E376D3">
      <w:pPr>
        <w:pStyle w:val="Default"/>
        <w:pBdr>
          <w:bottom w:val="single" w:sz="6" w:space="31" w:color="auto"/>
        </w:pBdr>
        <w:rPr>
          <w:b/>
          <w:bCs/>
          <w:color w:val="auto"/>
          <w:sz w:val="22"/>
          <w:szCs w:val="22"/>
        </w:rPr>
      </w:pPr>
    </w:p>
    <w:p w:rsidR="00E376D3" w:rsidRDefault="00E376D3" w:rsidP="00E376D3">
      <w:pPr>
        <w:pStyle w:val="Default"/>
        <w:pBdr>
          <w:bottom w:val="single" w:sz="6" w:space="31" w:color="auto"/>
        </w:pBdr>
        <w:rPr>
          <w:b/>
          <w:bCs/>
          <w:color w:val="auto"/>
          <w:sz w:val="22"/>
          <w:szCs w:val="22"/>
        </w:rPr>
      </w:pPr>
    </w:p>
    <w:p w:rsidR="00E376D3" w:rsidRDefault="00E376D3" w:rsidP="00E376D3">
      <w:pPr>
        <w:pStyle w:val="Default"/>
        <w:pBdr>
          <w:bottom w:val="single" w:sz="6" w:space="31" w:color="auto"/>
        </w:pBdr>
        <w:rPr>
          <w:b/>
          <w:bCs/>
          <w:color w:val="auto"/>
          <w:sz w:val="22"/>
          <w:szCs w:val="22"/>
        </w:rPr>
      </w:pPr>
    </w:p>
    <w:p w:rsidR="00E376D3" w:rsidRDefault="00E376D3" w:rsidP="00E376D3">
      <w:pPr>
        <w:pStyle w:val="Default"/>
        <w:pBdr>
          <w:bottom w:val="single" w:sz="6" w:space="31" w:color="auto"/>
        </w:pBdr>
        <w:rPr>
          <w:b/>
          <w:bCs/>
          <w:color w:val="auto"/>
          <w:sz w:val="22"/>
          <w:szCs w:val="22"/>
        </w:rPr>
      </w:pPr>
    </w:p>
    <w:p w:rsidR="00E376D3" w:rsidRDefault="00E376D3" w:rsidP="00E376D3">
      <w:pPr>
        <w:pStyle w:val="Default"/>
        <w:pBdr>
          <w:bottom w:val="single" w:sz="6" w:space="31" w:color="auto"/>
        </w:pBdr>
        <w:rPr>
          <w:b/>
          <w:bCs/>
          <w:color w:val="auto"/>
          <w:sz w:val="22"/>
          <w:szCs w:val="22"/>
        </w:rPr>
      </w:pPr>
    </w:p>
    <w:p w:rsidR="00CB667A" w:rsidRDefault="00CB667A" w:rsidP="00E376D3">
      <w:pPr>
        <w:pStyle w:val="Default"/>
        <w:pBdr>
          <w:bottom w:val="single" w:sz="6" w:space="31" w:color="auto"/>
        </w:pBdr>
        <w:rPr>
          <w:b/>
          <w:bCs/>
          <w:color w:val="auto"/>
          <w:sz w:val="22"/>
          <w:szCs w:val="22"/>
        </w:rPr>
      </w:pPr>
    </w:p>
    <w:p w:rsidR="00CB667A" w:rsidRDefault="00CB667A" w:rsidP="00E376D3">
      <w:pPr>
        <w:pStyle w:val="Default"/>
        <w:pBdr>
          <w:bottom w:val="single" w:sz="6" w:space="31" w:color="auto"/>
        </w:pBdr>
        <w:rPr>
          <w:b/>
          <w:bCs/>
          <w:color w:val="auto"/>
          <w:sz w:val="22"/>
          <w:szCs w:val="22"/>
        </w:rPr>
      </w:pPr>
    </w:p>
    <w:p w:rsidR="00CB667A" w:rsidRDefault="00CB667A" w:rsidP="00E376D3">
      <w:pPr>
        <w:pStyle w:val="Default"/>
        <w:pBdr>
          <w:bottom w:val="single" w:sz="6" w:space="31" w:color="auto"/>
        </w:pBdr>
        <w:rPr>
          <w:b/>
          <w:bCs/>
          <w:color w:val="auto"/>
          <w:sz w:val="22"/>
          <w:szCs w:val="22"/>
        </w:rPr>
      </w:pPr>
    </w:p>
    <w:p w:rsidR="00CB667A" w:rsidRDefault="00CB667A" w:rsidP="00E376D3">
      <w:pPr>
        <w:pStyle w:val="Default"/>
        <w:pBdr>
          <w:bottom w:val="single" w:sz="6" w:space="31" w:color="auto"/>
        </w:pBdr>
        <w:rPr>
          <w:b/>
          <w:bCs/>
          <w:color w:val="auto"/>
          <w:sz w:val="22"/>
          <w:szCs w:val="22"/>
        </w:rPr>
      </w:pPr>
    </w:p>
    <w:p w:rsidR="00E376D3" w:rsidRPr="005F3ABE" w:rsidRDefault="00E376D3" w:rsidP="00E376D3">
      <w:pPr>
        <w:pStyle w:val="Default"/>
        <w:jc w:val="both"/>
        <w:rPr>
          <w:b/>
          <w:bCs/>
          <w:color w:val="auto"/>
          <w:sz w:val="20"/>
          <w:szCs w:val="20"/>
        </w:rPr>
      </w:pPr>
      <w:r w:rsidRPr="005F3ABE">
        <w:rPr>
          <w:b/>
          <w:bCs/>
          <w:color w:val="auto"/>
          <w:sz w:val="20"/>
          <w:szCs w:val="20"/>
        </w:rPr>
        <w:t xml:space="preserve">Who we are </w:t>
      </w:r>
    </w:p>
    <w:p w:rsidR="00E376D3" w:rsidRPr="005F3ABE" w:rsidRDefault="00E376D3" w:rsidP="00E376D3">
      <w:pPr>
        <w:pStyle w:val="Default"/>
        <w:jc w:val="both"/>
        <w:rPr>
          <w:color w:val="auto"/>
          <w:sz w:val="20"/>
          <w:szCs w:val="20"/>
        </w:rPr>
      </w:pPr>
      <w:r w:rsidRPr="005F3ABE">
        <w:rPr>
          <w:color w:val="auto"/>
          <w:sz w:val="20"/>
          <w:szCs w:val="20"/>
        </w:rPr>
        <w:t xml:space="preserve">We have been supplying water to Portsmouth and the surrounding area since 1857.  The area supplied by the Company extends through South East Hampshire and West Sussex from the River Meon in the west to the River Arun in the east, encompassing 868 sq. km. </w:t>
      </w:r>
    </w:p>
    <w:p w:rsidR="00E376D3" w:rsidRPr="005F3ABE" w:rsidRDefault="00E376D3" w:rsidP="00E376D3">
      <w:pPr>
        <w:pStyle w:val="Default"/>
        <w:jc w:val="both"/>
        <w:rPr>
          <w:b/>
          <w:bCs/>
          <w:color w:val="auto"/>
          <w:sz w:val="20"/>
          <w:szCs w:val="20"/>
        </w:rPr>
      </w:pPr>
    </w:p>
    <w:p w:rsidR="00E376D3" w:rsidRPr="005F3ABE" w:rsidRDefault="00E376D3" w:rsidP="00E376D3">
      <w:pPr>
        <w:pStyle w:val="Default"/>
        <w:jc w:val="both"/>
        <w:rPr>
          <w:bCs/>
          <w:color w:val="auto"/>
          <w:sz w:val="20"/>
          <w:szCs w:val="20"/>
        </w:rPr>
      </w:pPr>
      <w:r w:rsidRPr="005F3ABE">
        <w:rPr>
          <w:b/>
          <w:bCs/>
          <w:color w:val="auto"/>
          <w:sz w:val="20"/>
          <w:szCs w:val="20"/>
        </w:rPr>
        <w:t xml:space="preserve">Our vision </w:t>
      </w:r>
    </w:p>
    <w:p w:rsidR="00E376D3" w:rsidRPr="005F3ABE" w:rsidRDefault="00E376D3" w:rsidP="00E376D3">
      <w:pPr>
        <w:pStyle w:val="Default"/>
        <w:jc w:val="both"/>
        <w:rPr>
          <w:bCs/>
          <w:color w:val="auto"/>
          <w:sz w:val="20"/>
          <w:szCs w:val="20"/>
        </w:rPr>
      </w:pPr>
      <w:r w:rsidRPr="005F3ABE">
        <w:rPr>
          <w:bCs/>
          <w:color w:val="auto"/>
          <w:sz w:val="20"/>
          <w:szCs w:val="20"/>
        </w:rPr>
        <w:t>To supply high quality drinking water whilst providing excellent levels of service for our customers at the lowest price in the country.</w:t>
      </w:r>
    </w:p>
    <w:p w:rsidR="00E376D3" w:rsidRPr="005F3ABE" w:rsidRDefault="00E376D3" w:rsidP="00E376D3">
      <w:pPr>
        <w:pStyle w:val="Default"/>
        <w:jc w:val="both"/>
        <w:rPr>
          <w:b/>
          <w:bCs/>
          <w:color w:val="auto"/>
          <w:sz w:val="20"/>
          <w:szCs w:val="20"/>
        </w:rPr>
      </w:pPr>
      <w:r w:rsidRPr="005F3ABE">
        <w:rPr>
          <w:b/>
          <w:bCs/>
          <w:color w:val="auto"/>
          <w:sz w:val="20"/>
          <w:szCs w:val="20"/>
        </w:rPr>
        <w:t xml:space="preserve"> </w:t>
      </w:r>
    </w:p>
    <w:p w:rsidR="00E376D3" w:rsidRPr="005F3ABE" w:rsidRDefault="00E376D3" w:rsidP="00E376D3">
      <w:pPr>
        <w:pStyle w:val="Default"/>
        <w:jc w:val="both"/>
        <w:rPr>
          <w:b/>
          <w:bCs/>
          <w:color w:val="auto"/>
          <w:sz w:val="20"/>
          <w:szCs w:val="20"/>
        </w:rPr>
      </w:pPr>
      <w:r w:rsidRPr="005F3ABE">
        <w:rPr>
          <w:b/>
          <w:bCs/>
          <w:color w:val="auto"/>
          <w:sz w:val="20"/>
          <w:szCs w:val="20"/>
        </w:rPr>
        <w:t>Our values</w:t>
      </w:r>
    </w:p>
    <w:p w:rsidR="00E376D3" w:rsidRDefault="00E376D3" w:rsidP="00E376D3">
      <w:pPr>
        <w:pStyle w:val="Default"/>
        <w:jc w:val="both"/>
        <w:rPr>
          <w:b/>
          <w:bCs/>
        </w:rPr>
      </w:pPr>
      <w:r w:rsidRPr="005F3ABE">
        <w:rPr>
          <w:bCs/>
          <w:color w:val="auto"/>
          <w:sz w:val="20"/>
          <w:szCs w:val="20"/>
        </w:rPr>
        <w:t>Our values underpin how we behave in delivering all aspects of our work.  There are Excellence, Respect &amp; Integrity.</w:t>
      </w:r>
      <w:r>
        <w:rPr>
          <w:b/>
          <w:bCs/>
        </w:rPr>
        <w:br w:type="page"/>
      </w:r>
    </w:p>
    <w:p w:rsidR="00E376D3" w:rsidRDefault="00E376D3" w:rsidP="006256C9">
      <w:pPr>
        <w:pStyle w:val="Default"/>
        <w:pBdr>
          <w:bottom w:val="single" w:sz="6" w:space="9" w:color="auto"/>
        </w:pBdr>
        <w:rPr>
          <w:b/>
          <w:bCs/>
          <w:color w:val="auto"/>
          <w:sz w:val="22"/>
          <w:szCs w:val="22"/>
        </w:rPr>
      </w:pPr>
    </w:p>
    <w:p w:rsidR="00E06DFC" w:rsidRDefault="00E06DFC" w:rsidP="001927BA">
      <w:pPr>
        <w:spacing w:after="0"/>
        <w:jc w:val="both"/>
        <w:rPr>
          <w:rFonts w:ascii="Arial" w:hAnsi="Arial" w:cs="Arial"/>
          <w:b/>
          <w:bCs/>
          <w:sz w:val="24"/>
          <w:szCs w:val="24"/>
        </w:rPr>
      </w:pPr>
    </w:p>
    <w:p w:rsidR="00757A23" w:rsidRPr="00A760CF" w:rsidRDefault="00757A23" w:rsidP="001927BA">
      <w:pPr>
        <w:spacing w:after="0"/>
        <w:jc w:val="both"/>
        <w:rPr>
          <w:rFonts w:ascii="Arial" w:hAnsi="Arial" w:cs="Arial"/>
          <w:b/>
          <w:bCs/>
          <w:sz w:val="24"/>
          <w:szCs w:val="24"/>
        </w:rPr>
      </w:pPr>
      <w:r w:rsidRPr="00A760CF">
        <w:rPr>
          <w:rFonts w:ascii="Arial" w:hAnsi="Arial" w:cs="Arial"/>
          <w:b/>
          <w:bCs/>
          <w:sz w:val="24"/>
          <w:szCs w:val="24"/>
        </w:rPr>
        <w:t xml:space="preserve">Contents </w:t>
      </w:r>
    </w:p>
    <w:p w:rsidR="00757A23" w:rsidRPr="00A760CF" w:rsidRDefault="00757A23" w:rsidP="001927BA">
      <w:pPr>
        <w:pStyle w:val="Default"/>
        <w:jc w:val="both"/>
        <w:rPr>
          <w:color w:val="auto"/>
          <w:sz w:val="22"/>
          <w:szCs w:val="22"/>
        </w:rPr>
      </w:pPr>
    </w:p>
    <w:tbl>
      <w:tblPr>
        <w:tblW w:w="9606" w:type="dxa"/>
        <w:tblInd w:w="-108" w:type="dxa"/>
        <w:tblBorders>
          <w:top w:val="nil"/>
          <w:left w:val="nil"/>
          <w:bottom w:val="nil"/>
          <w:right w:val="nil"/>
        </w:tblBorders>
        <w:tblLayout w:type="fixed"/>
        <w:tblLook w:val="0000" w:firstRow="0" w:lastRow="0" w:firstColumn="0" w:lastColumn="0" w:noHBand="0" w:noVBand="0"/>
      </w:tblPr>
      <w:tblGrid>
        <w:gridCol w:w="8188"/>
        <w:gridCol w:w="1418"/>
      </w:tblGrid>
      <w:tr w:rsidR="001617E8" w:rsidRPr="00A760CF" w:rsidTr="00987F6D">
        <w:trPr>
          <w:trHeight w:val="110"/>
        </w:trPr>
        <w:tc>
          <w:tcPr>
            <w:tcW w:w="8188" w:type="dxa"/>
          </w:tcPr>
          <w:p w:rsidR="001617E8" w:rsidRDefault="00987F6D" w:rsidP="001927BA">
            <w:pPr>
              <w:autoSpaceDE w:val="0"/>
              <w:autoSpaceDN w:val="0"/>
              <w:adjustRightInd w:val="0"/>
              <w:spacing w:after="0" w:line="240" w:lineRule="auto"/>
              <w:jc w:val="both"/>
              <w:rPr>
                <w:rFonts w:ascii="Arial" w:hAnsi="Arial" w:cs="Arial"/>
                <w:color w:val="000000"/>
              </w:rPr>
            </w:pPr>
            <w:r w:rsidRPr="00A760CF">
              <w:rPr>
                <w:rFonts w:ascii="Arial" w:hAnsi="Arial" w:cs="Arial"/>
                <w:color w:val="000000"/>
              </w:rPr>
              <w:t>1. Background</w:t>
            </w:r>
          </w:p>
          <w:p w:rsidR="002D772B" w:rsidRPr="00A760CF" w:rsidRDefault="002D772B" w:rsidP="001927BA">
            <w:pPr>
              <w:autoSpaceDE w:val="0"/>
              <w:autoSpaceDN w:val="0"/>
              <w:adjustRightInd w:val="0"/>
              <w:spacing w:after="0" w:line="240" w:lineRule="auto"/>
              <w:jc w:val="both"/>
              <w:rPr>
                <w:rFonts w:ascii="Arial" w:hAnsi="Arial" w:cs="Arial"/>
                <w:color w:val="000000"/>
              </w:rPr>
            </w:pPr>
          </w:p>
        </w:tc>
        <w:tc>
          <w:tcPr>
            <w:tcW w:w="1418" w:type="dxa"/>
          </w:tcPr>
          <w:p w:rsidR="001617E8" w:rsidRPr="00A760CF" w:rsidRDefault="007367C8" w:rsidP="001927BA">
            <w:pPr>
              <w:autoSpaceDE w:val="0"/>
              <w:autoSpaceDN w:val="0"/>
              <w:adjustRightInd w:val="0"/>
              <w:spacing w:after="0" w:line="240" w:lineRule="auto"/>
              <w:jc w:val="both"/>
              <w:rPr>
                <w:rFonts w:ascii="Arial" w:hAnsi="Arial" w:cs="Arial"/>
                <w:color w:val="000000"/>
              </w:rPr>
            </w:pPr>
            <w:r>
              <w:rPr>
                <w:rFonts w:ascii="Arial" w:hAnsi="Arial" w:cs="Arial"/>
                <w:color w:val="000000"/>
              </w:rPr>
              <w:t>5</w:t>
            </w:r>
          </w:p>
        </w:tc>
      </w:tr>
      <w:tr w:rsidR="001617E8" w:rsidRPr="00A760CF" w:rsidTr="00987F6D">
        <w:trPr>
          <w:trHeight w:val="110"/>
        </w:trPr>
        <w:tc>
          <w:tcPr>
            <w:tcW w:w="8188" w:type="dxa"/>
          </w:tcPr>
          <w:p w:rsidR="001617E8" w:rsidRDefault="001617E8" w:rsidP="001927BA">
            <w:pPr>
              <w:autoSpaceDE w:val="0"/>
              <w:autoSpaceDN w:val="0"/>
              <w:adjustRightInd w:val="0"/>
              <w:spacing w:after="0" w:line="240" w:lineRule="auto"/>
              <w:jc w:val="both"/>
              <w:rPr>
                <w:rFonts w:ascii="Arial" w:hAnsi="Arial" w:cs="Arial"/>
                <w:color w:val="000000"/>
              </w:rPr>
            </w:pPr>
            <w:r w:rsidRPr="00A760CF">
              <w:rPr>
                <w:rFonts w:ascii="Arial" w:hAnsi="Arial" w:cs="Arial"/>
                <w:color w:val="000000"/>
              </w:rPr>
              <w:t xml:space="preserve">2. Assurance Framework </w:t>
            </w:r>
          </w:p>
          <w:p w:rsidR="002D772B" w:rsidRDefault="002D772B" w:rsidP="001927BA">
            <w:pPr>
              <w:autoSpaceDE w:val="0"/>
              <w:autoSpaceDN w:val="0"/>
              <w:adjustRightInd w:val="0"/>
              <w:spacing w:after="0" w:line="240" w:lineRule="auto"/>
              <w:jc w:val="both"/>
              <w:rPr>
                <w:rFonts w:ascii="Arial" w:hAnsi="Arial" w:cs="Arial"/>
                <w:color w:val="000000"/>
              </w:rPr>
            </w:pPr>
          </w:p>
          <w:p w:rsidR="002D772B" w:rsidRPr="00A760CF" w:rsidRDefault="002D772B" w:rsidP="007367C8">
            <w:pPr>
              <w:autoSpaceDE w:val="0"/>
              <w:autoSpaceDN w:val="0"/>
              <w:adjustRightInd w:val="0"/>
              <w:spacing w:after="0" w:line="240" w:lineRule="auto"/>
              <w:jc w:val="both"/>
              <w:rPr>
                <w:rFonts w:ascii="Arial" w:hAnsi="Arial" w:cs="Arial"/>
                <w:color w:val="000000"/>
              </w:rPr>
            </w:pPr>
            <w:r>
              <w:rPr>
                <w:rFonts w:ascii="Arial" w:hAnsi="Arial" w:cs="Arial"/>
                <w:color w:val="000000"/>
              </w:rPr>
              <w:t>3. Assurance</w:t>
            </w:r>
            <w:r w:rsidR="007367C8">
              <w:rPr>
                <w:rFonts w:ascii="Arial" w:hAnsi="Arial" w:cs="Arial"/>
                <w:color w:val="000000"/>
              </w:rPr>
              <w:t xml:space="preserve"> Activities</w:t>
            </w:r>
          </w:p>
        </w:tc>
        <w:tc>
          <w:tcPr>
            <w:tcW w:w="1418" w:type="dxa"/>
          </w:tcPr>
          <w:p w:rsidR="001617E8" w:rsidRDefault="007367C8" w:rsidP="001927BA">
            <w:pPr>
              <w:autoSpaceDE w:val="0"/>
              <w:autoSpaceDN w:val="0"/>
              <w:adjustRightInd w:val="0"/>
              <w:spacing w:after="0" w:line="240" w:lineRule="auto"/>
              <w:jc w:val="both"/>
              <w:rPr>
                <w:rFonts w:ascii="Arial" w:hAnsi="Arial" w:cs="Arial"/>
                <w:color w:val="000000"/>
              </w:rPr>
            </w:pPr>
            <w:r>
              <w:rPr>
                <w:rFonts w:ascii="Arial" w:hAnsi="Arial" w:cs="Arial"/>
                <w:color w:val="000000"/>
              </w:rPr>
              <w:t>6</w:t>
            </w:r>
          </w:p>
          <w:p w:rsidR="002D772B" w:rsidRDefault="002D772B" w:rsidP="001927BA">
            <w:pPr>
              <w:autoSpaceDE w:val="0"/>
              <w:autoSpaceDN w:val="0"/>
              <w:adjustRightInd w:val="0"/>
              <w:spacing w:after="0" w:line="240" w:lineRule="auto"/>
              <w:jc w:val="both"/>
              <w:rPr>
                <w:rFonts w:ascii="Arial" w:hAnsi="Arial" w:cs="Arial"/>
                <w:color w:val="000000"/>
              </w:rPr>
            </w:pPr>
          </w:p>
          <w:p w:rsidR="002D772B" w:rsidRPr="00A760CF" w:rsidRDefault="007367C8" w:rsidP="001927BA">
            <w:pPr>
              <w:autoSpaceDE w:val="0"/>
              <w:autoSpaceDN w:val="0"/>
              <w:adjustRightInd w:val="0"/>
              <w:spacing w:after="0" w:line="240" w:lineRule="auto"/>
              <w:jc w:val="both"/>
              <w:rPr>
                <w:rFonts w:ascii="Arial" w:hAnsi="Arial" w:cs="Arial"/>
                <w:color w:val="000000"/>
              </w:rPr>
            </w:pPr>
            <w:r>
              <w:rPr>
                <w:rFonts w:ascii="Arial" w:hAnsi="Arial" w:cs="Arial"/>
                <w:color w:val="000000"/>
              </w:rPr>
              <w:t>11</w:t>
            </w:r>
          </w:p>
        </w:tc>
      </w:tr>
      <w:tr w:rsidR="002D772B" w:rsidRPr="00A760CF" w:rsidTr="00987F6D">
        <w:trPr>
          <w:trHeight w:val="110"/>
        </w:trPr>
        <w:tc>
          <w:tcPr>
            <w:tcW w:w="8188" w:type="dxa"/>
          </w:tcPr>
          <w:p w:rsidR="002D772B" w:rsidRDefault="002D772B" w:rsidP="002D772B">
            <w:pPr>
              <w:autoSpaceDE w:val="0"/>
              <w:autoSpaceDN w:val="0"/>
              <w:adjustRightInd w:val="0"/>
              <w:spacing w:after="0" w:line="240" w:lineRule="auto"/>
              <w:jc w:val="both"/>
              <w:rPr>
                <w:rFonts w:ascii="Arial" w:hAnsi="Arial" w:cs="Arial"/>
                <w:color w:val="000000"/>
              </w:rPr>
            </w:pPr>
          </w:p>
          <w:p w:rsidR="002D772B" w:rsidRDefault="002D772B" w:rsidP="002D772B">
            <w:pPr>
              <w:autoSpaceDE w:val="0"/>
              <w:autoSpaceDN w:val="0"/>
              <w:adjustRightInd w:val="0"/>
              <w:spacing w:after="0" w:line="240" w:lineRule="auto"/>
              <w:jc w:val="both"/>
              <w:rPr>
                <w:rFonts w:ascii="Arial" w:hAnsi="Arial" w:cs="Arial"/>
                <w:color w:val="000000"/>
              </w:rPr>
            </w:pPr>
            <w:r w:rsidRPr="00A760CF">
              <w:rPr>
                <w:rFonts w:ascii="Arial" w:hAnsi="Arial" w:cs="Arial"/>
                <w:color w:val="000000"/>
              </w:rPr>
              <w:t xml:space="preserve">4. Feedback from Stakeholders </w:t>
            </w:r>
          </w:p>
          <w:p w:rsidR="002D772B" w:rsidRDefault="002D772B" w:rsidP="002D772B">
            <w:pPr>
              <w:autoSpaceDE w:val="0"/>
              <w:autoSpaceDN w:val="0"/>
              <w:adjustRightInd w:val="0"/>
              <w:spacing w:after="0" w:line="240" w:lineRule="auto"/>
              <w:jc w:val="both"/>
              <w:rPr>
                <w:rFonts w:ascii="Arial" w:hAnsi="Arial" w:cs="Arial"/>
                <w:color w:val="000000"/>
              </w:rPr>
            </w:pPr>
          </w:p>
          <w:p w:rsidR="002D772B" w:rsidRDefault="002D772B"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5. Final Assurance Plan</w:t>
            </w:r>
          </w:p>
          <w:p w:rsidR="004E139B" w:rsidRDefault="004E139B" w:rsidP="002D772B">
            <w:pPr>
              <w:autoSpaceDE w:val="0"/>
              <w:autoSpaceDN w:val="0"/>
              <w:adjustRightInd w:val="0"/>
              <w:spacing w:after="0" w:line="240" w:lineRule="auto"/>
              <w:jc w:val="both"/>
              <w:rPr>
                <w:rFonts w:ascii="Arial" w:hAnsi="Arial" w:cs="Arial"/>
                <w:color w:val="000000"/>
              </w:rPr>
            </w:pPr>
          </w:p>
          <w:p w:rsidR="004E139B" w:rsidRDefault="004E139B"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6. Next Steps</w:t>
            </w:r>
          </w:p>
          <w:p w:rsidR="00833BAF" w:rsidRDefault="00833BAF" w:rsidP="002D772B">
            <w:pPr>
              <w:autoSpaceDE w:val="0"/>
              <w:autoSpaceDN w:val="0"/>
              <w:adjustRightInd w:val="0"/>
              <w:spacing w:after="0" w:line="240" w:lineRule="auto"/>
              <w:jc w:val="both"/>
              <w:rPr>
                <w:rFonts w:ascii="Arial" w:hAnsi="Arial" w:cs="Arial"/>
                <w:color w:val="000000"/>
              </w:rPr>
            </w:pPr>
          </w:p>
          <w:p w:rsidR="00833BAF" w:rsidRDefault="00833BAF"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Appendix 1</w:t>
            </w:r>
            <w:r w:rsidR="004C0B41">
              <w:rPr>
                <w:rFonts w:ascii="Arial" w:hAnsi="Arial" w:cs="Arial"/>
                <w:color w:val="000000"/>
              </w:rPr>
              <w:t xml:space="preserve"> – Outcome of Risk Assessment</w:t>
            </w:r>
          </w:p>
          <w:p w:rsidR="00833BAF" w:rsidRDefault="00833BAF" w:rsidP="002D772B">
            <w:pPr>
              <w:autoSpaceDE w:val="0"/>
              <w:autoSpaceDN w:val="0"/>
              <w:adjustRightInd w:val="0"/>
              <w:spacing w:after="0" w:line="240" w:lineRule="auto"/>
              <w:jc w:val="both"/>
              <w:rPr>
                <w:rFonts w:ascii="Arial" w:hAnsi="Arial" w:cs="Arial"/>
                <w:color w:val="000000"/>
              </w:rPr>
            </w:pPr>
          </w:p>
          <w:p w:rsidR="00833BAF" w:rsidRDefault="00833BAF"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Appendix 2</w:t>
            </w:r>
            <w:r w:rsidR="004C0B41">
              <w:rPr>
                <w:rFonts w:ascii="Arial" w:hAnsi="Arial" w:cs="Arial"/>
                <w:color w:val="000000"/>
              </w:rPr>
              <w:t xml:space="preserve"> – Sources of Assurance</w:t>
            </w:r>
          </w:p>
          <w:p w:rsidR="00833BAF" w:rsidRDefault="00833BAF" w:rsidP="002D772B">
            <w:pPr>
              <w:autoSpaceDE w:val="0"/>
              <w:autoSpaceDN w:val="0"/>
              <w:adjustRightInd w:val="0"/>
              <w:spacing w:after="0" w:line="240" w:lineRule="auto"/>
              <w:jc w:val="both"/>
              <w:rPr>
                <w:rFonts w:ascii="Arial" w:hAnsi="Arial" w:cs="Arial"/>
                <w:color w:val="000000"/>
              </w:rPr>
            </w:pPr>
          </w:p>
          <w:p w:rsidR="00833BAF" w:rsidRDefault="00833BAF"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Appendix 3</w:t>
            </w:r>
            <w:r w:rsidR="004C0B41">
              <w:rPr>
                <w:rFonts w:ascii="Arial" w:hAnsi="Arial" w:cs="Arial"/>
                <w:color w:val="000000"/>
              </w:rPr>
              <w:t xml:space="preserve"> – Targeted Audit Plan</w:t>
            </w:r>
          </w:p>
          <w:p w:rsidR="00833BAF" w:rsidRDefault="00833BAF" w:rsidP="002D772B">
            <w:pPr>
              <w:autoSpaceDE w:val="0"/>
              <w:autoSpaceDN w:val="0"/>
              <w:adjustRightInd w:val="0"/>
              <w:spacing w:after="0" w:line="240" w:lineRule="auto"/>
              <w:jc w:val="both"/>
              <w:rPr>
                <w:rFonts w:ascii="Arial" w:hAnsi="Arial" w:cs="Arial"/>
                <w:color w:val="000000"/>
              </w:rPr>
            </w:pPr>
          </w:p>
          <w:p w:rsidR="00833BAF" w:rsidRPr="00A760CF" w:rsidRDefault="00833BAF" w:rsidP="002D772B">
            <w:pPr>
              <w:autoSpaceDE w:val="0"/>
              <w:autoSpaceDN w:val="0"/>
              <w:adjustRightInd w:val="0"/>
              <w:spacing w:after="0" w:line="240" w:lineRule="auto"/>
              <w:jc w:val="both"/>
              <w:rPr>
                <w:rFonts w:ascii="Arial" w:hAnsi="Arial" w:cs="Arial"/>
                <w:color w:val="000000"/>
              </w:rPr>
            </w:pPr>
          </w:p>
        </w:tc>
        <w:tc>
          <w:tcPr>
            <w:tcW w:w="1418" w:type="dxa"/>
          </w:tcPr>
          <w:p w:rsidR="002D772B" w:rsidRDefault="002D772B" w:rsidP="002D772B">
            <w:pPr>
              <w:autoSpaceDE w:val="0"/>
              <w:autoSpaceDN w:val="0"/>
              <w:adjustRightInd w:val="0"/>
              <w:spacing w:after="0" w:line="240" w:lineRule="auto"/>
              <w:jc w:val="both"/>
              <w:rPr>
                <w:rFonts w:ascii="Arial" w:hAnsi="Arial" w:cs="Arial"/>
                <w:color w:val="000000"/>
              </w:rPr>
            </w:pPr>
          </w:p>
          <w:p w:rsidR="002D772B" w:rsidRDefault="004C0B41"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13</w:t>
            </w:r>
          </w:p>
          <w:p w:rsidR="002D772B" w:rsidRDefault="002D772B" w:rsidP="002D772B">
            <w:pPr>
              <w:autoSpaceDE w:val="0"/>
              <w:autoSpaceDN w:val="0"/>
              <w:adjustRightInd w:val="0"/>
              <w:spacing w:after="0" w:line="240" w:lineRule="auto"/>
              <w:jc w:val="both"/>
              <w:rPr>
                <w:rFonts w:ascii="Arial" w:hAnsi="Arial" w:cs="Arial"/>
                <w:color w:val="000000"/>
              </w:rPr>
            </w:pPr>
          </w:p>
          <w:p w:rsidR="004E139B" w:rsidRDefault="004C0B41"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15</w:t>
            </w:r>
          </w:p>
          <w:p w:rsidR="004C0B41" w:rsidRDefault="004C0B41" w:rsidP="002D772B">
            <w:pPr>
              <w:autoSpaceDE w:val="0"/>
              <w:autoSpaceDN w:val="0"/>
              <w:adjustRightInd w:val="0"/>
              <w:spacing w:after="0" w:line="240" w:lineRule="auto"/>
              <w:jc w:val="both"/>
              <w:rPr>
                <w:rFonts w:ascii="Arial" w:hAnsi="Arial" w:cs="Arial"/>
                <w:color w:val="000000"/>
              </w:rPr>
            </w:pPr>
          </w:p>
          <w:p w:rsidR="004E139B" w:rsidRDefault="00947EB0"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1</w:t>
            </w:r>
            <w:r w:rsidR="004C0B41">
              <w:rPr>
                <w:rFonts w:ascii="Arial" w:hAnsi="Arial" w:cs="Arial"/>
                <w:color w:val="000000"/>
              </w:rPr>
              <w:t>6</w:t>
            </w:r>
          </w:p>
          <w:p w:rsidR="00833BAF" w:rsidRDefault="00833BAF" w:rsidP="002D772B">
            <w:pPr>
              <w:autoSpaceDE w:val="0"/>
              <w:autoSpaceDN w:val="0"/>
              <w:adjustRightInd w:val="0"/>
              <w:spacing w:after="0" w:line="240" w:lineRule="auto"/>
              <w:jc w:val="both"/>
              <w:rPr>
                <w:rFonts w:ascii="Arial" w:hAnsi="Arial" w:cs="Arial"/>
                <w:color w:val="000000"/>
              </w:rPr>
            </w:pPr>
          </w:p>
          <w:p w:rsidR="00833BAF" w:rsidRDefault="00947EB0"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1</w:t>
            </w:r>
            <w:r w:rsidR="004C0B41">
              <w:rPr>
                <w:rFonts w:ascii="Arial" w:hAnsi="Arial" w:cs="Arial"/>
                <w:color w:val="000000"/>
              </w:rPr>
              <w:t>7</w:t>
            </w:r>
          </w:p>
          <w:p w:rsidR="00947EB0" w:rsidRDefault="00947EB0" w:rsidP="002D772B">
            <w:pPr>
              <w:autoSpaceDE w:val="0"/>
              <w:autoSpaceDN w:val="0"/>
              <w:adjustRightInd w:val="0"/>
              <w:spacing w:after="0" w:line="240" w:lineRule="auto"/>
              <w:jc w:val="both"/>
              <w:rPr>
                <w:rFonts w:ascii="Arial" w:hAnsi="Arial" w:cs="Arial"/>
                <w:color w:val="000000"/>
              </w:rPr>
            </w:pPr>
          </w:p>
          <w:p w:rsidR="00947EB0" w:rsidRDefault="00947EB0"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1</w:t>
            </w:r>
            <w:r w:rsidR="004C0B41">
              <w:rPr>
                <w:rFonts w:ascii="Arial" w:hAnsi="Arial" w:cs="Arial"/>
                <w:color w:val="000000"/>
              </w:rPr>
              <w:t>8</w:t>
            </w:r>
          </w:p>
          <w:p w:rsidR="00947EB0" w:rsidRDefault="00947EB0" w:rsidP="002D772B">
            <w:pPr>
              <w:autoSpaceDE w:val="0"/>
              <w:autoSpaceDN w:val="0"/>
              <w:adjustRightInd w:val="0"/>
              <w:spacing w:after="0" w:line="240" w:lineRule="auto"/>
              <w:jc w:val="both"/>
              <w:rPr>
                <w:rFonts w:ascii="Arial" w:hAnsi="Arial" w:cs="Arial"/>
                <w:color w:val="000000"/>
              </w:rPr>
            </w:pPr>
          </w:p>
          <w:p w:rsidR="00947EB0" w:rsidRDefault="004C0B41" w:rsidP="002D772B">
            <w:pPr>
              <w:autoSpaceDE w:val="0"/>
              <w:autoSpaceDN w:val="0"/>
              <w:adjustRightInd w:val="0"/>
              <w:spacing w:after="0" w:line="240" w:lineRule="auto"/>
              <w:jc w:val="both"/>
              <w:rPr>
                <w:rFonts w:ascii="Arial" w:hAnsi="Arial" w:cs="Arial"/>
                <w:color w:val="000000"/>
              </w:rPr>
            </w:pPr>
            <w:r>
              <w:rPr>
                <w:rFonts w:ascii="Arial" w:hAnsi="Arial" w:cs="Arial"/>
                <w:color w:val="000000"/>
              </w:rPr>
              <w:t>20</w:t>
            </w:r>
          </w:p>
          <w:p w:rsidR="00947EB0" w:rsidRDefault="00947EB0" w:rsidP="002D772B">
            <w:pPr>
              <w:autoSpaceDE w:val="0"/>
              <w:autoSpaceDN w:val="0"/>
              <w:adjustRightInd w:val="0"/>
              <w:spacing w:after="0" w:line="240" w:lineRule="auto"/>
              <w:jc w:val="both"/>
              <w:rPr>
                <w:rFonts w:ascii="Arial" w:hAnsi="Arial" w:cs="Arial"/>
                <w:color w:val="000000"/>
              </w:rPr>
            </w:pPr>
          </w:p>
          <w:p w:rsidR="00947EB0" w:rsidRPr="00A760CF" w:rsidRDefault="00947EB0" w:rsidP="002D772B">
            <w:pPr>
              <w:autoSpaceDE w:val="0"/>
              <w:autoSpaceDN w:val="0"/>
              <w:adjustRightInd w:val="0"/>
              <w:spacing w:after="0" w:line="240" w:lineRule="auto"/>
              <w:jc w:val="both"/>
              <w:rPr>
                <w:rFonts w:ascii="Arial" w:hAnsi="Arial" w:cs="Arial"/>
                <w:color w:val="000000"/>
              </w:rPr>
            </w:pPr>
          </w:p>
        </w:tc>
      </w:tr>
      <w:tr w:rsidR="002D772B" w:rsidRPr="00A760CF" w:rsidTr="00987F6D">
        <w:trPr>
          <w:trHeight w:val="110"/>
        </w:trPr>
        <w:tc>
          <w:tcPr>
            <w:tcW w:w="8188" w:type="dxa"/>
          </w:tcPr>
          <w:p w:rsidR="002D772B" w:rsidRDefault="002D772B" w:rsidP="002D772B">
            <w:pPr>
              <w:autoSpaceDE w:val="0"/>
              <w:autoSpaceDN w:val="0"/>
              <w:adjustRightInd w:val="0"/>
              <w:spacing w:after="0" w:line="240" w:lineRule="auto"/>
              <w:jc w:val="both"/>
              <w:rPr>
                <w:rFonts w:ascii="Arial" w:hAnsi="Arial" w:cs="Arial"/>
                <w:color w:val="000000"/>
              </w:rPr>
            </w:pPr>
          </w:p>
          <w:p w:rsidR="002D772B" w:rsidRPr="00A760CF" w:rsidRDefault="002D772B" w:rsidP="002D772B">
            <w:pPr>
              <w:autoSpaceDE w:val="0"/>
              <w:autoSpaceDN w:val="0"/>
              <w:adjustRightInd w:val="0"/>
              <w:spacing w:after="0" w:line="240" w:lineRule="auto"/>
              <w:jc w:val="both"/>
              <w:rPr>
                <w:rFonts w:ascii="Arial" w:hAnsi="Arial" w:cs="Arial"/>
                <w:color w:val="000000"/>
              </w:rPr>
            </w:pPr>
          </w:p>
        </w:tc>
        <w:tc>
          <w:tcPr>
            <w:tcW w:w="1418" w:type="dxa"/>
          </w:tcPr>
          <w:p w:rsidR="002D772B" w:rsidRDefault="002D772B" w:rsidP="002D772B">
            <w:pPr>
              <w:autoSpaceDE w:val="0"/>
              <w:autoSpaceDN w:val="0"/>
              <w:adjustRightInd w:val="0"/>
              <w:spacing w:after="0" w:line="240" w:lineRule="auto"/>
              <w:jc w:val="both"/>
              <w:rPr>
                <w:rFonts w:ascii="Arial" w:hAnsi="Arial" w:cs="Arial"/>
                <w:color w:val="000000"/>
              </w:rPr>
            </w:pPr>
          </w:p>
        </w:tc>
      </w:tr>
      <w:tr w:rsidR="002D772B" w:rsidRPr="00A760CF" w:rsidTr="00987F6D">
        <w:trPr>
          <w:trHeight w:val="110"/>
        </w:trPr>
        <w:tc>
          <w:tcPr>
            <w:tcW w:w="8188" w:type="dxa"/>
          </w:tcPr>
          <w:p w:rsidR="002D772B" w:rsidRPr="00A760CF" w:rsidRDefault="002D772B" w:rsidP="002D772B">
            <w:pPr>
              <w:autoSpaceDE w:val="0"/>
              <w:autoSpaceDN w:val="0"/>
              <w:adjustRightInd w:val="0"/>
              <w:spacing w:after="0" w:line="240" w:lineRule="auto"/>
              <w:jc w:val="both"/>
              <w:rPr>
                <w:rFonts w:ascii="Arial" w:hAnsi="Arial" w:cs="Arial"/>
                <w:color w:val="000000"/>
              </w:rPr>
            </w:pPr>
          </w:p>
        </w:tc>
        <w:tc>
          <w:tcPr>
            <w:tcW w:w="1418" w:type="dxa"/>
          </w:tcPr>
          <w:p w:rsidR="002D772B" w:rsidRDefault="002D772B" w:rsidP="002D772B">
            <w:pPr>
              <w:autoSpaceDE w:val="0"/>
              <w:autoSpaceDN w:val="0"/>
              <w:adjustRightInd w:val="0"/>
              <w:spacing w:after="0" w:line="240" w:lineRule="auto"/>
              <w:jc w:val="both"/>
              <w:rPr>
                <w:rFonts w:ascii="Arial" w:hAnsi="Arial" w:cs="Arial"/>
                <w:color w:val="000000"/>
              </w:rPr>
            </w:pPr>
          </w:p>
        </w:tc>
      </w:tr>
    </w:tbl>
    <w:p w:rsidR="00987F6D" w:rsidRPr="00A760CF" w:rsidRDefault="00987F6D" w:rsidP="001927BA">
      <w:pPr>
        <w:spacing w:after="0"/>
        <w:jc w:val="both"/>
        <w:rPr>
          <w:rFonts w:ascii="Arial" w:hAnsi="Arial" w:cs="Arial"/>
          <w:b/>
          <w:bCs/>
          <w:color w:val="000000"/>
        </w:rPr>
      </w:pPr>
    </w:p>
    <w:p w:rsidR="00987F6D" w:rsidRPr="00A760CF" w:rsidRDefault="00987F6D" w:rsidP="001927BA">
      <w:pPr>
        <w:spacing w:after="0"/>
        <w:jc w:val="both"/>
        <w:rPr>
          <w:rFonts w:ascii="Arial" w:hAnsi="Arial" w:cs="Arial"/>
          <w:b/>
          <w:bCs/>
          <w:color w:val="000000"/>
        </w:rPr>
      </w:pPr>
      <w:r w:rsidRPr="00A760CF">
        <w:rPr>
          <w:rFonts w:ascii="Arial" w:hAnsi="Arial" w:cs="Arial"/>
          <w:b/>
          <w:bCs/>
          <w:color w:val="000000"/>
        </w:rPr>
        <w:br w:type="page"/>
      </w:r>
    </w:p>
    <w:p w:rsidR="001617E8" w:rsidRPr="00A760CF" w:rsidRDefault="001617E8" w:rsidP="00557777">
      <w:pPr>
        <w:pStyle w:val="Default"/>
        <w:numPr>
          <w:ilvl w:val="0"/>
          <w:numId w:val="24"/>
        </w:numPr>
        <w:ind w:left="0" w:firstLine="0"/>
        <w:jc w:val="both"/>
        <w:rPr>
          <w:b/>
          <w:bCs/>
        </w:rPr>
      </w:pPr>
      <w:r w:rsidRPr="00A760CF">
        <w:rPr>
          <w:b/>
          <w:bCs/>
        </w:rPr>
        <w:t>B</w:t>
      </w:r>
      <w:r w:rsidR="00195CF5" w:rsidRPr="00A760CF">
        <w:rPr>
          <w:b/>
          <w:bCs/>
        </w:rPr>
        <w:t xml:space="preserve">ackground </w:t>
      </w:r>
    </w:p>
    <w:p w:rsidR="00FF2145" w:rsidRDefault="00FF2145" w:rsidP="001927BA">
      <w:pPr>
        <w:pStyle w:val="Default"/>
        <w:ind w:left="142"/>
        <w:jc w:val="both"/>
        <w:rPr>
          <w:sz w:val="22"/>
          <w:szCs w:val="22"/>
        </w:rPr>
      </w:pPr>
    </w:p>
    <w:p w:rsidR="00557777" w:rsidRDefault="00557777" w:rsidP="00557777">
      <w:pPr>
        <w:pStyle w:val="Default"/>
        <w:ind w:left="720" w:hanging="720"/>
        <w:rPr>
          <w:sz w:val="22"/>
          <w:szCs w:val="22"/>
        </w:rPr>
      </w:pPr>
      <w:r w:rsidRPr="00557777">
        <w:rPr>
          <w:sz w:val="22"/>
          <w:szCs w:val="22"/>
        </w:rPr>
        <w:t>1.</w:t>
      </w:r>
      <w:r>
        <w:rPr>
          <w:sz w:val="22"/>
          <w:szCs w:val="22"/>
        </w:rPr>
        <w:t>1</w:t>
      </w:r>
      <w:r>
        <w:rPr>
          <w:sz w:val="22"/>
          <w:szCs w:val="22"/>
        </w:rPr>
        <w:tab/>
      </w:r>
      <w:r w:rsidR="009F3387">
        <w:rPr>
          <w:sz w:val="22"/>
          <w:szCs w:val="22"/>
        </w:rPr>
        <w:t>W</w:t>
      </w:r>
      <w:r w:rsidR="009F3387" w:rsidRPr="00530EAF">
        <w:rPr>
          <w:sz w:val="22"/>
          <w:szCs w:val="22"/>
        </w:rPr>
        <w:t xml:space="preserve">e </w:t>
      </w:r>
      <w:r w:rsidR="009F3387">
        <w:rPr>
          <w:sz w:val="22"/>
          <w:szCs w:val="22"/>
        </w:rPr>
        <w:t xml:space="preserve">publish our </w:t>
      </w:r>
      <w:r w:rsidR="009F3387" w:rsidRPr="00530EAF">
        <w:rPr>
          <w:sz w:val="22"/>
          <w:szCs w:val="22"/>
        </w:rPr>
        <w:t>“Annual Performance Report”</w:t>
      </w:r>
      <w:r w:rsidR="009F3387">
        <w:rPr>
          <w:sz w:val="22"/>
          <w:szCs w:val="22"/>
        </w:rPr>
        <w:t xml:space="preserve"> (APR) </w:t>
      </w:r>
      <w:r w:rsidR="00253C40">
        <w:rPr>
          <w:sz w:val="22"/>
          <w:szCs w:val="22"/>
        </w:rPr>
        <w:t xml:space="preserve">which </w:t>
      </w:r>
      <w:r w:rsidR="009F3387" w:rsidRPr="00530EAF">
        <w:rPr>
          <w:sz w:val="22"/>
          <w:szCs w:val="22"/>
        </w:rPr>
        <w:t>enable</w:t>
      </w:r>
      <w:r w:rsidR="00253C40">
        <w:rPr>
          <w:sz w:val="22"/>
          <w:szCs w:val="22"/>
        </w:rPr>
        <w:t>s</w:t>
      </w:r>
      <w:r w:rsidR="009F3387" w:rsidRPr="00530EAF">
        <w:rPr>
          <w:sz w:val="22"/>
          <w:szCs w:val="22"/>
        </w:rPr>
        <w:t xml:space="preserve"> stakeholders to assess how we performed against those measures of success that are regarded by our customers as being the most important factors (the “Performance Measures”). </w:t>
      </w:r>
      <w:r w:rsidR="00253C40">
        <w:rPr>
          <w:sz w:val="22"/>
          <w:szCs w:val="22"/>
        </w:rPr>
        <w:t xml:space="preserve">Our APR was published for the first time in 2015/16.  </w:t>
      </w:r>
      <w:r w:rsidR="009F3387" w:rsidRPr="00530EAF">
        <w:rPr>
          <w:sz w:val="22"/>
          <w:szCs w:val="22"/>
        </w:rPr>
        <w:t xml:space="preserve">The targets for the Performance Measures </w:t>
      </w:r>
      <w:r w:rsidR="00253C40">
        <w:rPr>
          <w:sz w:val="22"/>
          <w:szCs w:val="22"/>
        </w:rPr>
        <w:t xml:space="preserve">are </w:t>
      </w:r>
      <w:r w:rsidR="009F3387" w:rsidRPr="00530EAF">
        <w:rPr>
          <w:sz w:val="22"/>
          <w:szCs w:val="22"/>
        </w:rPr>
        <w:t xml:space="preserve">the commitment the </w:t>
      </w:r>
      <w:r w:rsidR="009F3387">
        <w:rPr>
          <w:sz w:val="22"/>
          <w:szCs w:val="22"/>
        </w:rPr>
        <w:t>C</w:t>
      </w:r>
      <w:r w:rsidR="009F3387" w:rsidRPr="00530EAF">
        <w:rPr>
          <w:sz w:val="22"/>
          <w:szCs w:val="22"/>
        </w:rPr>
        <w:t xml:space="preserve">ompany made to its customers following extensive customer engagement exercise carried out when we were preparing our business </w:t>
      </w:r>
      <w:r w:rsidR="00F97043">
        <w:rPr>
          <w:sz w:val="22"/>
          <w:szCs w:val="22"/>
        </w:rPr>
        <w:t xml:space="preserve">plans for the 2015-2020 period.  This document refers to the </w:t>
      </w:r>
      <w:r w:rsidR="0076296D">
        <w:rPr>
          <w:sz w:val="22"/>
          <w:szCs w:val="22"/>
        </w:rPr>
        <w:t xml:space="preserve">fourth </w:t>
      </w:r>
      <w:r w:rsidR="00F97043">
        <w:rPr>
          <w:sz w:val="22"/>
          <w:szCs w:val="22"/>
        </w:rPr>
        <w:t xml:space="preserve">year of the current Business Plan period, </w:t>
      </w:r>
      <w:r w:rsidR="0076296D">
        <w:rPr>
          <w:sz w:val="22"/>
          <w:szCs w:val="22"/>
        </w:rPr>
        <w:t>2018/19</w:t>
      </w:r>
      <w:r w:rsidR="00F97043">
        <w:rPr>
          <w:sz w:val="22"/>
          <w:szCs w:val="22"/>
        </w:rPr>
        <w:t>.</w:t>
      </w:r>
    </w:p>
    <w:p w:rsidR="00557777" w:rsidRDefault="00557777" w:rsidP="00557777">
      <w:pPr>
        <w:pStyle w:val="Default"/>
        <w:ind w:left="720" w:hanging="720"/>
        <w:rPr>
          <w:sz w:val="22"/>
          <w:szCs w:val="22"/>
        </w:rPr>
      </w:pPr>
    </w:p>
    <w:p w:rsidR="00557777" w:rsidRDefault="00557777" w:rsidP="00557777">
      <w:pPr>
        <w:pStyle w:val="Default"/>
        <w:ind w:left="720" w:hanging="720"/>
        <w:rPr>
          <w:sz w:val="22"/>
          <w:szCs w:val="22"/>
        </w:rPr>
      </w:pPr>
      <w:r>
        <w:rPr>
          <w:sz w:val="22"/>
          <w:szCs w:val="22"/>
        </w:rPr>
        <w:t>1.2</w:t>
      </w:r>
      <w:r>
        <w:rPr>
          <w:sz w:val="22"/>
          <w:szCs w:val="22"/>
        </w:rPr>
        <w:tab/>
      </w:r>
      <w:r w:rsidR="009F3387" w:rsidRPr="00530EAF">
        <w:rPr>
          <w:sz w:val="22"/>
          <w:szCs w:val="22"/>
        </w:rPr>
        <w:t>The Company recognise</w:t>
      </w:r>
      <w:r w:rsidR="00253C40">
        <w:rPr>
          <w:sz w:val="22"/>
          <w:szCs w:val="22"/>
        </w:rPr>
        <w:t>s</w:t>
      </w:r>
      <w:r w:rsidR="009F3387" w:rsidRPr="00530EAF">
        <w:rPr>
          <w:sz w:val="22"/>
          <w:szCs w:val="22"/>
        </w:rPr>
        <w:t xml:space="preserve"> the importance of providing information to customers and other stakeholders that is; customer-led, relevant, reliable, complete, accurate and timely. Our ongoing objective is to make information available that is easy to understand and which enables stakeholders to see how we are performing; this helps build trust and confidence in the business.</w:t>
      </w:r>
    </w:p>
    <w:p w:rsidR="00557777" w:rsidRDefault="00557777" w:rsidP="00557777">
      <w:pPr>
        <w:pStyle w:val="Default"/>
        <w:ind w:left="720" w:hanging="720"/>
        <w:rPr>
          <w:sz w:val="22"/>
          <w:szCs w:val="22"/>
        </w:rPr>
      </w:pPr>
    </w:p>
    <w:p w:rsidR="00557777" w:rsidRDefault="00557777" w:rsidP="00557777">
      <w:pPr>
        <w:pStyle w:val="Default"/>
        <w:ind w:left="720" w:hanging="720"/>
        <w:rPr>
          <w:sz w:val="22"/>
          <w:szCs w:val="22"/>
        </w:rPr>
      </w:pPr>
      <w:r>
        <w:rPr>
          <w:sz w:val="22"/>
          <w:szCs w:val="22"/>
        </w:rPr>
        <w:t>1.3</w:t>
      </w:r>
      <w:r>
        <w:rPr>
          <w:sz w:val="22"/>
          <w:szCs w:val="22"/>
        </w:rPr>
        <w:tab/>
        <w:t>I</w:t>
      </w:r>
      <w:r w:rsidR="009F3387" w:rsidRPr="000C33B1">
        <w:rPr>
          <w:sz w:val="22"/>
          <w:szCs w:val="22"/>
        </w:rPr>
        <w:t>n June 2015 Ofwat published guidance, “The Company Monitoring Framework”</w:t>
      </w:r>
      <w:r w:rsidR="009F3387" w:rsidRPr="00530EAF">
        <w:rPr>
          <w:sz w:val="22"/>
          <w:szCs w:val="22"/>
        </w:rPr>
        <w:t xml:space="preserve"> which formalise</w:t>
      </w:r>
      <w:r w:rsidR="009F3387">
        <w:rPr>
          <w:sz w:val="22"/>
          <w:szCs w:val="22"/>
        </w:rPr>
        <w:t>d</w:t>
      </w:r>
      <w:r w:rsidR="009F3387" w:rsidRPr="00530EAF">
        <w:rPr>
          <w:sz w:val="22"/>
          <w:szCs w:val="22"/>
        </w:rPr>
        <w:t xml:space="preserve"> the process through which they will oversee that stakeholders can have confidence in companies’ p</w:t>
      </w:r>
      <w:r>
        <w:rPr>
          <w:sz w:val="22"/>
          <w:szCs w:val="22"/>
        </w:rPr>
        <w:t xml:space="preserve">ublished Performance Measures. </w:t>
      </w:r>
    </w:p>
    <w:p w:rsidR="00557777" w:rsidRDefault="00557777" w:rsidP="00557777">
      <w:pPr>
        <w:pStyle w:val="Default"/>
        <w:ind w:left="720" w:hanging="720"/>
        <w:rPr>
          <w:sz w:val="22"/>
          <w:szCs w:val="22"/>
        </w:rPr>
      </w:pPr>
    </w:p>
    <w:p w:rsidR="009F3387" w:rsidRPr="007367C8" w:rsidRDefault="00557777" w:rsidP="00557777">
      <w:pPr>
        <w:pStyle w:val="Default"/>
        <w:ind w:left="720" w:hanging="720"/>
        <w:rPr>
          <w:sz w:val="22"/>
          <w:szCs w:val="22"/>
        </w:rPr>
      </w:pPr>
      <w:r>
        <w:rPr>
          <w:sz w:val="22"/>
          <w:szCs w:val="22"/>
        </w:rPr>
        <w:t>1.4</w:t>
      </w:r>
      <w:r>
        <w:rPr>
          <w:sz w:val="22"/>
          <w:szCs w:val="22"/>
        </w:rPr>
        <w:tab/>
      </w:r>
      <w:r w:rsidR="009F3387" w:rsidRPr="00530EAF">
        <w:rPr>
          <w:sz w:val="22"/>
          <w:szCs w:val="22"/>
        </w:rPr>
        <w:t>Ofwat ha</w:t>
      </w:r>
      <w:r w:rsidR="009F3387">
        <w:rPr>
          <w:sz w:val="22"/>
          <w:szCs w:val="22"/>
        </w:rPr>
        <w:t>s</w:t>
      </w:r>
      <w:r w:rsidR="009F3387" w:rsidRPr="00530EAF">
        <w:rPr>
          <w:sz w:val="22"/>
          <w:szCs w:val="22"/>
        </w:rPr>
        <w:t xml:space="preserve"> acknowledged that Companies and their Boards are best placed to identify the risks, strengths and weaknesses associated with providing such information. To allow us to develop a “targeted” assurance plan, </w:t>
      </w:r>
      <w:r w:rsidR="009F3387">
        <w:rPr>
          <w:sz w:val="22"/>
          <w:szCs w:val="22"/>
        </w:rPr>
        <w:t xml:space="preserve">in November 2017 </w:t>
      </w:r>
      <w:r w:rsidR="009F3387" w:rsidRPr="00530EAF">
        <w:rPr>
          <w:sz w:val="22"/>
          <w:szCs w:val="22"/>
        </w:rPr>
        <w:t xml:space="preserve">we </w:t>
      </w:r>
      <w:r w:rsidR="009F3387">
        <w:rPr>
          <w:sz w:val="22"/>
          <w:szCs w:val="22"/>
        </w:rPr>
        <w:t xml:space="preserve">again </w:t>
      </w:r>
      <w:r w:rsidR="009F3387" w:rsidRPr="00530EAF">
        <w:rPr>
          <w:sz w:val="22"/>
          <w:szCs w:val="22"/>
        </w:rPr>
        <w:t xml:space="preserve">undertook a risk assessment for all relevant non-financial data that will be contained in the </w:t>
      </w:r>
      <w:r w:rsidR="009F3387">
        <w:rPr>
          <w:sz w:val="22"/>
          <w:szCs w:val="22"/>
        </w:rPr>
        <w:t>APR</w:t>
      </w:r>
      <w:r w:rsidR="009F3387" w:rsidRPr="00530EAF">
        <w:rPr>
          <w:sz w:val="22"/>
          <w:szCs w:val="22"/>
        </w:rPr>
        <w:t xml:space="preserve">. This was an important exercise and was the basis of a Statement of Risks, Strengths and </w:t>
      </w:r>
      <w:r w:rsidR="009F3387" w:rsidRPr="00F97043">
        <w:rPr>
          <w:sz w:val="22"/>
          <w:szCs w:val="22"/>
        </w:rPr>
        <w:t xml:space="preserve">Weaknesses upon which we consulted. The consultation closed on the </w:t>
      </w:r>
      <w:r w:rsidR="009F3387" w:rsidRPr="007367C8">
        <w:rPr>
          <w:sz w:val="22"/>
          <w:szCs w:val="22"/>
        </w:rPr>
        <w:t>2</w:t>
      </w:r>
      <w:r w:rsidR="007367C8" w:rsidRPr="007367C8">
        <w:rPr>
          <w:sz w:val="22"/>
          <w:szCs w:val="22"/>
        </w:rPr>
        <w:t>0</w:t>
      </w:r>
      <w:r w:rsidR="009F3387" w:rsidRPr="007367C8">
        <w:rPr>
          <w:sz w:val="22"/>
          <w:szCs w:val="22"/>
        </w:rPr>
        <w:t xml:space="preserve"> December 201</w:t>
      </w:r>
      <w:r w:rsidR="007367C8" w:rsidRPr="007367C8">
        <w:rPr>
          <w:sz w:val="22"/>
          <w:szCs w:val="22"/>
        </w:rPr>
        <w:t>8</w:t>
      </w:r>
      <w:r w:rsidR="009F3387" w:rsidRPr="007367C8">
        <w:rPr>
          <w:sz w:val="22"/>
          <w:szCs w:val="22"/>
        </w:rPr>
        <w:t xml:space="preserve">. </w:t>
      </w:r>
    </w:p>
    <w:p w:rsidR="009F3387" w:rsidRDefault="009F3387" w:rsidP="009F3387">
      <w:pPr>
        <w:pStyle w:val="Default"/>
        <w:ind w:left="142"/>
        <w:rPr>
          <w:sz w:val="22"/>
          <w:szCs w:val="22"/>
        </w:rPr>
      </w:pPr>
    </w:p>
    <w:p w:rsidR="009F3387" w:rsidRDefault="009F3387" w:rsidP="00557777">
      <w:pPr>
        <w:pStyle w:val="Default"/>
        <w:ind w:left="142" w:firstLine="578"/>
        <w:rPr>
          <w:sz w:val="22"/>
          <w:szCs w:val="22"/>
        </w:rPr>
      </w:pPr>
      <w:r w:rsidRPr="00221F52">
        <w:rPr>
          <w:sz w:val="22"/>
          <w:szCs w:val="22"/>
        </w:rPr>
        <w:t xml:space="preserve">This </w:t>
      </w:r>
      <w:r w:rsidR="00F97043">
        <w:rPr>
          <w:sz w:val="22"/>
          <w:szCs w:val="22"/>
        </w:rPr>
        <w:t xml:space="preserve">document </w:t>
      </w:r>
      <w:r>
        <w:rPr>
          <w:sz w:val="22"/>
          <w:szCs w:val="22"/>
        </w:rPr>
        <w:t>is available on our website at</w:t>
      </w:r>
    </w:p>
    <w:p w:rsidR="009F3387" w:rsidRDefault="009F3387" w:rsidP="009F3387">
      <w:pPr>
        <w:pStyle w:val="Default"/>
        <w:ind w:left="502"/>
        <w:rPr>
          <w:sz w:val="22"/>
          <w:szCs w:val="22"/>
        </w:rPr>
      </w:pPr>
    </w:p>
    <w:p w:rsidR="009F3387" w:rsidRDefault="0027650C" w:rsidP="00557777">
      <w:pPr>
        <w:pStyle w:val="Default"/>
        <w:ind w:firstLine="720"/>
        <w:rPr>
          <w:sz w:val="22"/>
          <w:szCs w:val="22"/>
        </w:rPr>
      </w:pPr>
      <w:hyperlink r:id="rId11" w:history="1">
        <w:r w:rsidR="009F3387" w:rsidRPr="00165EAF">
          <w:rPr>
            <w:rStyle w:val="Hyperlink"/>
            <w:sz w:val="22"/>
            <w:szCs w:val="22"/>
          </w:rPr>
          <w:t>www.portsmouthwater.co.uk/news/publications/company-monitoring-plans/</w:t>
        </w:r>
      </w:hyperlink>
    </w:p>
    <w:p w:rsidR="009F3387" w:rsidRPr="00221F52" w:rsidRDefault="009F3387" w:rsidP="009F3387">
      <w:pPr>
        <w:pStyle w:val="Default"/>
        <w:ind w:left="142"/>
        <w:rPr>
          <w:sz w:val="22"/>
          <w:szCs w:val="22"/>
        </w:rPr>
      </w:pPr>
    </w:p>
    <w:p w:rsidR="0025163E" w:rsidRPr="007367C8" w:rsidRDefault="00557777" w:rsidP="00557777">
      <w:pPr>
        <w:pStyle w:val="Default"/>
        <w:ind w:left="720" w:hanging="578"/>
        <w:jc w:val="both"/>
        <w:rPr>
          <w:sz w:val="22"/>
          <w:szCs w:val="22"/>
        </w:rPr>
      </w:pPr>
      <w:r>
        <w:rPr>
          <w:sz w:val="22"/>
          <w:szCs w:val="22"/>
        </w:rPr>
        <w:t>1.5</w:t>
      </w:r>
      <w:r>
        <w:rPr>
          <w:sz w:val="22"/>
          <w:szCs w:val="22"/>
        </w:rPr>
        <w:tab/>
      </w:r>
      <w:r w:rsidR="0025163E" w:rsidRPr="007367C8">
        <w:rPr>
          <w:sz w:val="22"/>
          <w:szCs w:val="22"/>
        </w:rPr>
        <w:t>The second stage of the exercise was to consult on our draft Audit Plan.  This described the a</w:t>
      </w:r>
      <w:r w:rsidR="00673E9E" w:rsidRPr="007367C8">
        <w:rPr>
          <w:sz w:val="22"/>
          <w:szCs w:val="22"/>
        </w:rPr>
        <w:t xml:space="preserve">udit </w:t>
      </w:r>
      <w:r w:rsidR="0025163E" w:rsidRPr="007367C8">
        <w:rPr>
          <w:sz w:val="22"/>
          <w:szCs w:val="22"/>
        </w:rPr>
        <w:t xml:space="preserve">processes the Company either has or plans to have in place to provide third parties with the confidence that the data we provide is accurate. That consultation closed on </w:t>
      </w:r>
      <w:r w:rsidR="00F97043" w:rsidRPr="007367C8">
        <w:rPr>
          <w:sz w:val="22"/>
          <w:szCs w:val="22"/>
        </w:rPr>
        <w:t>22 March 201</w:t>
      </w:r>
      <w:r w:rsidR="007367C8" w:rsidRPr="007367C8">
        <w:rPr>
          <w:sz w:val="22"/>
          <w:szCs w:val="22"/>
        </w:rPr>
        <w:t>9</w:t>
      </w:r>
      <w:r w:rsidR="00F97043" w:rsidRPr="007367C8">
        <w:rPr>
          <w:sz w:val="22"/>
          <w:szCs w:val="22"/>
        </w:rPr>
        <w:t>.</w:t>
      </w:r>
      <w:r w:rsidR="0025163E" w:rsidRPr="007367C8">
        <w:rPr>
          <w:sz w:val="22"/>
          <w:szCs w:val="22"/>
        </w:rPr>
        <w:t xml:space="preserve">  </w:t>
      </w:r>
    </w:p>
    <w:p w:rsidR="009F3387" w:rsidRDefault="009F3387" w:rsidP="009F3387">
      <w:pPr>
        <w:pStyle w:val="Default"/>
        <w:jc w:val="both"/>
        <w:rPr>
          <w:sz w:val="22"/>
          <w:szCs w:val="22"/>
        </w:rPr>
      </w:pPr>
    </w:p>
    <w:p w:rsidR="009F3387" w:rsidRPr="00BE681A" w:rsidRDefault="009F3387" w:rsidP="00557777">
      <w:pPr>
        <w:pStyle w:val="Default"/>
        <w:ind w:left="142" w:firstLine="578"/>
        <w:jc w:val="both"/>
        <w:rPr>
          <w:sz w:val="22"/>
          <w:szCs w:val="22"/>
        </w:rPr>
      </w:pPr>
      <w:r>
        <w:rPr>
          <w:sz w:val="22"/>
          <w:szCs w:val="22"/>
        </w:rPr>
        <w:t xml:space="preserve">Similarly this can be found on our website at </w:t>
      </w:r>
    </w:p>
    <w:p w:rsidR="0025163E" w:rsidRDefault="0025163E" w:rsidP="001927BA">
      <w:pPr>
        <w:pStyle w:val="Default"/>
        <w:ind w:left="142"/>
        <w:jc w:val="both"/>
        <w:rPr>
          <w:sz w:val="22"/>
          <w:szCs w:val="22"/>
        </w:rPr>
      </w:pPr>
    </w:p>
    <w:p w:rsidR="009F3387" w:rsidRDefault="0027650C" w:rsidP="00557777">
      <w:pPr>
        <w:pStyle w:val="Default"/>
        <w:ind w:firstLine="720"/>
        <w:rPr>
          <w:sz w:val="22"/>
          <w:szCs w:val="22"/>
        </w:rPr>
      </w:pPr>
      <w:hyperlink r:id="rId12" w:history="1">
        <w:r w:rsidR="009F3387" w:rsidRPr="00165EAF">
          <w:rPr>
            <w:rStyle w:val="Hyperlink"/>
            <w:sz w:val="22"/>
            <w:szCs w:val="22"/>
          </w:rPr>
          <w:t>www.portsmouthwater.co.uk/news/publications/company-monitoring-plans/</w:t>
        </w:r>
      </w:hyperlink>
    </w:p>
    <w:p w:rsidR="009F3387" w:rsidRPr="00A760CF" w:rsidRDefault="009F3387" w:rsidP="001927BA">
      <w:pPr>
        <w:pStyle w:val="Default"/>
        <w:ind w:left="142"/>
        <w:jc w:val="both"/>
        <w:rPr>
          <w:sz w:val="22"/>
          <w:szCs w:val="22"/>
        </w:rPr>
      </w:pPr>
    </w:p>
    <w:p w:rsidR="006901A2" w:rsidRPr="007367C8" w:rsidRDefault="00557777" w:rsidP="00557777">
      <w:pPr>
        <w:pStyle w:val="Default"/>
        <w:ind w:left="720" w:hanging="720"/>
        <w:jc w:val="both"/>
        <w:rPr>
          <w:sz w:val="22"/>
          <w:szCs w:val="22"/>
        </w:rPr>
      </w:pPr>
      <w:r>
        <w:rPr>
          <w:color w:val="auto"/>
          <w:sz w:val="22"/>
          <w:szCs w:val="22"/>
        </w:rPr>
        <w:t>1.6</w:t>
      </w:r>
      <w:r>
        <w:rPr>
          <w:color w:val="auto"/>
          <w:sz w:val="22"/>
          <w:szCs w:val="22"/>
        </w:rPr>
        <w:tab/>
      </w:r>
      <w:r w:rsidR="001617E8" w:rsidRPr="00947EB0">
        <w:rPr>
          <w:color w:val="auto"/>
          <w:sz w:val="22"/>
          <w:szCs w:val="22"/>
        </w:rPr>
        <w:t xml:space="preserve">Having regard to </w:t>
      </w:r>
      <w:r w:rsidR="0025163E" w:rsidRPr="00947EB0">
        <w:rPr>
          <w:color w:val="auto"/>
          <w:sz w:val="22"/>
          <w:szCs w:val="22"/>
        </w:rPr>
        <w:t xml:space="preserve">all </w:t>
      </w:r>
      <w:r w:rsidR="001617E8" w:rsidRPr="00947EB0">
        <w:rPr>
          <w:color w:val="auto"/>
          <w:sz w:val="22"/>
          <w:szCs w:val="22"/>
        </w:rPr>
        <w:t xml:space="preserve">discussions and comments received, we </w:t>
      </w:r>
      <w:r w:rsidR="0025163E" w:rsidRPr="00947EB0">
        <w:rPr>
          <w:color w:val="auto"/>
          <w:sz w:val="22"/>
          <w:szCs w:val="22"/>
        </w:rPr>
        <w:t xml:space="preserve">now publish </w:t>
      </w:r>
      <w:r w:rsidR="001617E8" w:rsidRPr="00947EB0">
        <w:rPr>
          <w:color w:val="auto"/>
          <w:sz w:val="22"/>
          <w:szCs w:val="22"/>
        </w:rPr>
        <w:t xml:space="preserve">this </w:t>
      </w:r>
      <w:r w:rsidR="006901A2" w:rsidRPr="00947EB0">
        <w:rPr>
          <w:color w:val="auto"/>
          <w:sz w:val="22"/>
          <w:szCs w:val="22"/>
        </w:rPr>
        <w:t>Final Assurance Plan</w:t>
      </w:r>
      <w:r w:rsidR="0025163E" w:rsidRPr="00947EB0">
        <w:rPr>
          <w:color w:val="auto"/>
          <w:sz w:val="22"/>
          <w:szCs w:val="22"/>
        </w:rPr>
        <w:t xml:space="preserve"> to explain how stakeholders can be confident that the </w:t>
      </w:r>
      <w:r w:rsidR="001617E8" w:rsidRPr="00947EB0">
        <w:rPr>
          <w:color w:val="auto"/>
          <w:sz w:val="22"/>
          <w:szCs w:val="22"/>
        </w:rPr>
        <w:t xml:space="preserve">data we will report in the </w:t>
      </w:r>
      <w:r w:rsidR="0076296D">
        <w:rPr>
          <w:color w:val="auto"/>
          <w:sz w:val="22"/>
          <w:szCs w:val="22"/>
        </w:rPr>
        <w:t>2018/19</w:t>
      </w:r>
      <w:r w:rsidR="001617E8" w:rsidRPr="00947EB0">
        <w:rPr>
          <w:color w:val="auto"/>
          <w:sz w:val="22"/>
          <w:szCs w:val="22"/>
        </w:rPr>
        <w:t xml:space="preserve"> </w:t>
      </w:r>
      <w:r w:rsidR="0025163E" w:rsidRPr="00947EB0">
        <w:rPr>
          <w:color w:val="auto"/>
          <w:sz w:val="22"/>
          <w:szCs w:val="22"/>
        </w:rPr>
        <w:t xml:space="preserve">Annual </w:t>
      </w:r>
      <w:r w:rsidR="001617E8" w:rsidRPr="00947EB0">
        <w:rPr>
          <w:color w:val="auto"/>
          <w:sz w:val="22"/>
          <w:szCs w:val="22"/>
        </w:rPr>
        <w:t xml:space="preserve">Performance Report is </w:t>
      </w:r>
      <w:r w:rsidR="00F26B16" w:rsidRPr="00947EB0">
        <w:rPr>
          <w:color w:val="auto"/>
          <w:sz w:val="22"/>
          <w:szCs w:val="22"/>
        </w:rPr>
        <w:t>of</w:t>
      </w:r>
      <w:r w:rsidR="0025163E" w:rsidRPr="00947EB0">
        <w:rPr>
          <w:color w:val="auto"/>
          <w:sz w:val="22"/>
          <w:szCs w:val="22"/>
        </w:rPr>
        <w:t xml:space="preserve"> reliable and accurate</w:t>
      </w:r>
      <w:r w:rsidR="001617E8" w:rsidRPr="00947EB0">
        <w:rPr>
          <w:color w:val="auto"/>
          <w:sz w:val="22"/>
          <w:szCs w:val="22"/>
        </w:rPr>
        <w:t xml:space="preserve">. </w:t>
      </w:r>
      <w:r w:rsidR="00F97043" w:rsidRPr="00947EB0">
        <w:rPr>
          <w:color w:val="auto"/>
          <w:sz w:val="22"/>
          <w:szCs w:val="22"/>
        </w:rPr>
        <w:t>The items to be covered by the Audit</w:t>
      </w:r>
      <w:r w:rsidR="00253C40">
        <w:rPr>
          <w:color w:val="auto"/>
          <w:sz w:val="22"/>
          <w:szCs w:val="22"/>
        </w:rPr>
        <w:t>s</w:t>
      </w:r>
      <w:r w:rsidR="00F97043" w:rsidRPr="00947EB0">
        <w:rPr>
          <w:color w:val="auto"/>
          <w:sz w:val="22"/>
          <w:szCs w:val="22"/>
        </w:rPr>
        <w:t xml:space="preserve"> are shown in Section 5</w:t>
      </w:r>
      <w:r w:rsidR="00F97043" w:rsidRPr="007367C8">
        <w:rPr>
          <w:color w:val="auto"/>
          <w:sz w:val="22"/>
          <w:szCs w:val="22"/>
        </w:rPr>
        <w:t>.</w:t>
      </w:r>
    </w:p>
    <w:p w:rsidR="006901A2" w:rsidRPr="00A760CF" w:rsidRDefault="006901A2" w:rsidP="001927BA">
      <w:pPr>
        <w:pStyle w:val="Default"/>
        <w:ind w:left="142"/>
        <w:jc w:val="both"/>
        <w:rPr>
          <w:sz w:val="22"/>
          <w:szCs w:val="22"/>
        </w:rPr>
      </w:pPr>
    </w:p>
    <w:p w:rsidR="00200368" w:rsidRPr="00A760CF" w:rsidRDefault="00200368" w:rsidP="001927BA">
      <w:pPr>
        <w:pStyle w:val="Default"/>
        <w:ind w:left="142"/>
        <w:jc w:val="both"/>
        <w:rPr>
          <w:sz w:val="22"/>
          <w:szCs w:val="22"/>
        </w:rPr>
      </w:pPr>
    </w:p>
    <w:p w:rsidR="00F26B16" w:rsidRPr="00A760CF" w:rsidRDefault="00F26B16" w:rsidP="001927BA">
      <w:pPr>
        <w:pStyle w:val="Default"/>
        <w:ind w:left="142"/>
        <w:jc w:val="both"/>
        <w:rPr>
          <w:sz w:val="22"/>
          <w:szCs w:val="22"/>
        </w:rPr>
      </w:pPr>
    </w:p>
    <w:p w:rsidR="00F26B16" w:rsidRPr="00A760CF" w:rsidRDefault="00F26B16" w:rsidP="001927BA">
      <w:pPr>
        <w:pStyle w:val="Default"/>
        <w:ind w:left="142"/>
        <w:jc w:val="both"/>
        <w:rPr>
          <w:sz w:val="22"/>
          <w:szCs w:val="22"/>
        </w:rPr>
      </w:pPr>
    </w:p>
    <w:p w:rsidR="00F26B16" w:rsidRPr="00A760CF" w:rsidRDefault="00F26B16" w:rsidP="001927BA">
      <w:pPr>
        <w:pStyle w:val="Default"/>
        <w:ind w:left="142"/>
        <w:jc w:val="both"/>
        <w:rPr>
          <w:sz w:val="22"/>
          <w:szCs w:val="22"/>
        </w:rPr>
      </w:pPr>
    </w:p>
    <w:p w:rsidR="00F26B16" w:rsidRPr="00A760CF" w:rsidRDefault="00F26B16" w:rsidP="001927BA">
      <w:pPr>
        <w:pStyle w:val="Default"/>
        <w:ind w:left="142"/>
        <w:jc w:val="both"/>
        <w:rPr>
          <w:sz w:val="22"/>
          <w:szCs w:val="22"/>
        </w:rPr>
      </w:pPr>
    </w:p>
    <w:p w:rsidR="00F26B16" w:rsidRPr="00A760CF" w:rsidRDefault="00F26B16" w:rsidP="001927BA">
      <w:pPr>
        <w:pStyle w:val="Default"/>
        <w:ind w:left="142"/>
        <w:jc w:val="both"/>
        <w:rPr>
          <w:sz w:val="22"/>
          <w:szCs w:val="22"/>
        </w:rPr>
      </w:pPr>
    </w:p>
    <w:p w:rsidR="00195CF5" w:rsidRPr="00A760CF" w:rsidRDefault="00195CF5" w:rsidP="001927BA">
      <w:pPr>
        <w:spacing w:after="0"/>
        <w:jc w:val="both"/>
        <w:rPr>
          <w:rFonts w:ascii="Arial" w:hAnsi="Arial" w:cs="Arial"/>
          <w:color w:val="000000"/>
        </w:rPr>
      </w:pPr>
      <w:r w:rsidRPr="00A760CF">
        <w:rPr>
          <w:rFonts w:ascii="Arial" w:hAnsi="Arial" w:cs="Arial"/>
        </w:rPr>
        <w:br w:type="page"/>
      </w:r>
    </w:p>
    <w:p w:rsidR="001617E8" w:rsidRPr="00A760CF" w:rsidRDefault="00557777" w:rsidP="00557777">
      <w:pPr>
        <w:pStyle w:val="ListParagraph"/>
        <w:autoSpaceDE w:val="0"/>
        <w:autoSpaceDN w:val="0"/>
        <w:adjustRightInd w:val="0"/>
        <w:spacing w:after="0" w:line="240" w:lineRule="auto"/>
        <w:ind w:left="0"/>
        <w:jc w:val="both"/>
        <w:rPr>
          <w:rFonts w:ascii="Arial" w:hAnsi="Arial" w:cs="Arial"/>
          <w:b/>
          <w:bCs/>
          <w:color w:val="000000"/>
          <w:sz w:val="24"/>
          <w:szCs w:val="24"/>
        </w:rPr>
      </w:pPr>
      <w:r>
        <w:rPr>
          <w:rFonts w:ascii="Arial" w:hAnsi="Arial" w:cs="Arial"/>
          <w:b/>
          <w:bCs/>
          <w:color w:val="000000"/>
          <w:sz w:val="24"/>
          <w:szCs w:val="24"/>
        </w:rPr>
        <w:t>2.</w:t>
      </w:r>
      <w:r>
        <w:rPr>
          <w:rFonts w:ascii="Arial" w:hAnsi="Arial" w:cs="Arial"/>
          <w:b/>
          <w:bCs/>
          <w:color w:val="000000"/>
          <w:sz w:val="24"/>
          <w:szCs w:val="24"/>
        </w:rPr>
        <w:tab/>
      </w:r>
      <w:r w:rsidR="00345B68" w:rsidRPr="00A760CF">
        <w:rPr>
          <w:rFonts w:ascii="Arial" w:hAnsi="Arial" w:cs="Arial"/>
          <w:b/>
          <w:bCs/>
          <w:color w:val="000000"/>
          <w:sz w:val="24"/>
          <w:szCs w:val="24"/>
        </w:rPr>
        <w:t>A</w:t>
      </w:r>
      <w:r w:rsidR="00195CF5" w:rsidRPr="00A760CF">
        <w:rPr>
          <w:rFonts w:ascii="Arial" w:hAnsi="Arial" w:cs="Arial"/>
          <w:b/>
          <w:bCs/>
          <w:color w:val="000000"/>
          <w:sz w:val="24"/>
          <w:szCs w:val="24"/>
        </w:rPr>
        <w:t xml:space="preserve">ssurance Framework </w:t>
      </w:r>
    </w:p>
    <w:p w:rsidR="001841DC" w:rsidRPr="00654454" w:rsidRDefault="001841DC" w:rsidP="001841DC">
      <w:pPr>
        <w:pStyle w:val="ListParagraph"/>
        <w:autoSpaceDE w:val="0"/>
        <w:autoSpaceDN w:val="0"/>
        <w:adjustRightInd w:val="0"/>
        <w:spacing w:after="0" w:line="240" w:lineRule="auto"/>
        <w:ind w:left="142"/>
        <w:rPr>
          <w:rFonts w:ascii="Arial" w:hAnsi="Arial" w:cs="Arial"/>
          <w:b/>
          <w:bCs/>
          <w:color w:val="000000"/>
        </w:rPr>
      </w:pPr>
    </w:p>
    <w:p w:rsidR="001841DC" w:rsidRDefault="00557777" w:rsidP="00557777">
      <w:pPr>
        <w:pStyle w:val="ListParagraph"/>
        <w:autoSpaceDE w:val="0"/>
        <w:autoSpaceDN w:val="0"/>
        <w:adjustRightInd w:val="0"/>
        <w:spacing w:after="0" w:line="240" w:lineRule="auto"/>
        <w:ind w:hanging="720"/>
        <w:jc w:val="both"/>
        <w:rPr>
          <w:rFonts w:ascii="Arial" w:hAnsi="Arial" w:cs="Arial"/>
          <w:color w:val="000000"/>
        </w:rPr>
      </w:pPr>
      <w:r>
        <w:rPr>
          <w:rFonts w:ascii="Arial" w:hAnsi="Arial" w:cs="Arial"/>
          <w:color w:val="000000"/>
        </w:rPr>
        <w:t>2.1</w:t>
      </w:r>
      <w:r>
        <w:rPr>
          <w:rFonts w:ascii="Arial" w:hAnsi="Arial" w:cs="Arial"/>
          <w:color w:val="000000"/>
        </w:rPr>
        <w:tab/>
      </w:r>
      <w:r w:rsidR="001841DC" w:rsidRPr="00837771">
        <w:rPr>
          <w:rFonts w:ascii="Arial" w:hAnsi="Arial" w:cs="Arial"/>
          <w:color w:val="000000"/>
        </w:rPr>
        <w:t xml:space="preserve">The information that we publish on our performance will be assured by the Board to maintain and build a high level of trust and confidence from our customers and stakeholders. For this to be effective, performance needs to be reported in a clear way and assured to an appropriate level.  We adopt a risk-based approach to assurance, using internal and external review, to provide robust challenge and scrutiny of our published performance. </w:t>
      </w:r>
    </w:p>
    <w:p w:rsidR="001841DC" w:rsidRDefault="001841DC" w:rsidP="001841DC">
      <w:pPr>
        <w:pStyle w:val="ListParagraph"/>
        <w:autoSpaceDE w:val="0"/>
        <w:autoSpaceDN w:val="0"/>
        <w:adjustRightInd w:val="0"/>
        <w:spacing w:after="0" w:line="240" w:lineRule="auto"/>
        <w:ind w:left="0"/>
        <w:jc w:val="both"/>
        <w:rPr>
          <w:rFonts w:ascii="Arial" w:hAnsi="Arial" w:cs="Arial"/>
          <w:color w:val="000000"/>
        </w:rPr>
      </w:pPr>
    </w:p>
    <w:p w:rsidR="001841DC" w:rsidRPr="00837771" w:rsidRDefault="00557777" w:rsidP="00557777">
      <w:pPr>
        <w:pStyle w:val="ListParagraph"/>
        <w:autoSpaceDE w:val="0"/>
        <w:autoSpaceDN w:val="0"/>
        <w:adjustRightInd w:val="0"/>
        <w:spacing w:after="0" w:line="240" w:lineRule="auto"/>
        <w:ind w:hanging="720"/>
        <w:jc w:val="both"/>
        <w:rPr>
          <w:rFonts w:ascii="Arial" w:hAnsi="Arial" w:cs="Arial"/>
          <w:color w:val="000000"/>
        </w:rPr>
      </w:pPr>
      <w:r>
        <w:rPr>
          <w:rFonts w:ascii="Arial" w:hAnsi="Arial" w:cs="Arial"/>
          <w:color w:val="000000"/>
        </w:rPr>
        <w:t>2.2</w:t>
      </w:r>
      <w:r>
        <w:rPr>
          <w:rFonts w:ascii="Arial" w:hAnsi="Arial" w:cs="Arial"/>
          <w:color w:val="000000"/>
        </w:rPr>
        <w:tab/>
      </w:r>
      <w:r w:rsidR="001841DC" w:rsidRPr="00837771">
        <w:rPr>
          <w:rFonts w:ascii="Arial" w:hAnsi="Arial" w:cs="Arial"/>
          <w:color w:val="000000"/>
        </w:rPr>
        <w:t xml:space="preserve">Supporting this process is an audit framework designed to allow monitoring and evaluation of the various aspects of our performance, to ensure that standards of data quality are being met. </w:t>
      </w:r>
    </w:p>
    <w:p w:rsidR="001841DC" w:rsidRPr="00654454" w:rsidRDefault="00557777" w:rsidP="001841DC">
      <w:pPr>
        <w:pStyle w:val="ListParagraph"/>
        <w:autoSpaceDE w:val="0"/>
        <w:autoSpaceDN w:val="0"/>
        <w:adjustRightInd w:val="0"/>
        <w:spacing w:after="0" w:line="240" w:lineRule="auto"/>
        <w:ind w:left="502"/>
        <w:jc w:val="both"/>
        <w:rPr>
          <w:rFonts w:ascii="Arial" w:hAnsi="Arial" w:cs="Arial"/>
          <w:color w:val="000000"/>
        </w:rPr>
      </w:pPr>
      <w:r>
        <w:rPr>
          <w:rFonts w:ascii="Arial" w:hAnsi="Arial" w:cs="Arial"/>
          <w:color w:val="000000"/>
        </w:rPr>
        <w:tab/>
      </w:r>
    </w:p>
    <w:p w:rsidR="001841DC" w:rsidRPr="00654454" w:rsidRDefault="001841DC" w:rsidP="00557777">
      <w:pPr>
        <w:autoSpaceDE w:val="0"/>
        <w:autoSpaceDN w:val="0"/>
        <w:adjustRightInd w:val="0"/>
        <w:spacing w:after="0" w:line="240" w:lineRule="auto"/>
        <w:ind w:firstLine="720"/>
        <w:jc w:val="both"/>
        <w:rPr>
          <w:rFonts w:ascii="Arial" w:hAnsi="Arial" w:cs="Arial"/>
          <w:color w:val="000000"/>
        </w:rPr>
      </w:pPr>
      <w:r w:rsidRPr="00654454">
        <w:rPr>
          <w:rFonts w:ascii="Arial" w:hAnsi="Arial" w:cs="Arial"/>
          <w:color w:val="000000"/>
        </w:rPr>
        <w:t xml:space="preserve">This involves:- </w:t>
      </w:r>
    </w:p>
    <w:p w:rsidR="001841DC" w:rsidRPr="00654454" w:rsidRDefault="001841DC" w:rsidP="001841DC">
      <w:pPr>
        <w:autoSpaceDE w:val="0"/>
        <w:autoSpaceDN w:val="0"/>
        <w:adjustRightInd w:val="0"/>
        <w:spacing w:after="0" w:line="240" w:lineRule="auto"/>
        <w:ind w:firstLine="502"/>
        <w:jc w:val="both"/>
        <w:rPr>
          <w:rFonts w:ascii="Arial" w:hAnsi="Arial" w:cs="Arial"/>
          <w:color w:val="000000"/>
        </w:rPr>
      </w:pPr>
    </w:p>
    <w:p w:rsidR="001841DC" w:rsidRPr="00654454" w:rsidRDefault="001841DC" w:rsidP="00944ED0">
      <w:pPr>
        <w:pStyle w:val="ListParagraph"/>
        <w:numPr>
          <w:ilvl w:val="0"/>
          <w:numId w:val="6"/>
        </w:numPr>
        <w:autoSpaceDE w:val="0"/>
        <w:autoSpaceDN w:val="0"/>
        <w:adjustRightInd w:val="0"/>
        <w:spacing w:after="0" w:line="240" w:lineRule="auto"/>
        <w:ind w:left="1080"/>
        <w:jc w:val="both"/>
        <w:rPr>
          <w:rFonts w:ascii="Arial" w:hAnsi="Arial" w:cs="Arial"/>
          <w:color w:val="000000"/>
        </w:rPr>
      </w:pPr>
      <w:r w:rsidRPr="00654454">
        <w:rPr>
          <w:rFonts w:ascii="Arial" w:hAnsi="Arial" w:cs="Arial"/>
          <w:color w:val="000000"/>
        </w:rPr>
        <w:t>having appropriate governance arrangements</w:t>
      </w:r>
    </w:p>
    <w:p w:rsidR="001841DC" w:rsidRPr="00654454" w:rsidRDefault="001841DC" w:rsidP="00944ED0">
      <w:pPr>
        <w:pStyle w:val="ListParagraph"/>
        <w:numPr>
          <w:ilvl w:val="0"/>
          <w:numId w:val="6"/>
        </w:numPr>
        <w:autoSpaceDE w:val="0"/>
        <w:autoSpaceDN w:val="0"/>
        <w:adjustRightInd w:val="0"/>
        <w:spacing w:after="0" w:line="240" w:lineRule="auto"/>
        <w:ind w:left="1080"/>
        <w:jc w:val="both"/>
        <w:rPr>
          <w:rFonts w:ascii="Arial" w:hAnsi="Arial" w:cs="Arial"/>
          <w:color w:val="000000"/>
        </w:rPr>
      </w:pPr>
      <w:r w:rsidRPr="00654454">
        <w:rPr>
          <w:rFonts w:ascii="Arial" w:hAnsi="Arial" w:cs="Arial"/>
          <w:color w:val="000000"/>
        </w:rPr>
        <w:t>close involvement by our Board in the assurance process</w:t>
      </w:r>
    </w:p>
    <w:p w:rsidR="001841DC" w:rsidRPr="00654454" w:rsidRDefault="001841DC" w:rsidP="00944ED0">
      <w:pPr>
        <w:pStyle w:val="ListParagraph"/>
        <w:numPr>
          <w:ilvl w:val="0"/>
          <w:numId w:val="6"/>
        </w:numPr>
        <w:autoSpaceDE w:val="0"/>
        <w:autoSpaceDN w:val="0"/>
        <w:adjustRightInd w:val="0"/>
        <w:spacing w:after="0" w:line="240" w:lineRule="auto"/>
        <w:ind w:left="1080"/>
        <w:jc w:val="both"/>
        <w:rPr>
          <w:rFonts w:ascii="Arial" w:hAnsi="Arial" w:cs="Arial"/>
          <w:color w:val="000000"/>
        </w:rPr>
      </w:pPr>
      <w:r w:rsidRPr="00654454">
        <w:rPr>
          <w:rFonts w:ascii="Arial" w:hAnsi="Arial" w:cs="Arial"/>
          <w:color w:val="000000"/>
        </w:rPr>
        <w:t>the right level of independence in the process to provide third party review and challenge</w:t>
      </w:r>
    </w:p>
    <w:p w:rsidR="001841DC" w:rsidRPr="00654454" w:rsidRDefault="001841DC" w:rsidP="001841DC">
      <w:pPr>
        <w:autoSpaceDE w:val="0"/>
        <w:autoSpaceDN w:val="0"/>
        <w:adjustRightInd w:val="0"/>
        <w:spacing w:after="0" w:line="240" w:lineRule="auto"/>
        <w:ind w:left="360"/>
        <w:jc w:val="both"/>
        <w:rPr>
          <w:rFonts w:ascii="Arial" w:hAnsi="Arial" w:cs="Arial"/>
          <w:color w:val="000000"/>
        </w:rPr>
      </w:pPr>
    </w:p>
    <w:p w:rsidR="001841DC" w:rsidRDefault="001841DC" w:rsidP="00557777">
      <w:pPr>
        <w:autoSpaceDE w:val="0"/>
        <w:autoSpaceDN w:val="0"/>
        <w:adjustRightInd w:val="0"/>
        <w:spacing w:after="0" w:line="240" w:lineRule="auto"/>
        <w:ind w:left="720"/>
        <w:jc w:val="both"/>
        <w:rPr>
          <w:rFonts w:ascii="Arial" w:hAnsi="Arial" w:cs="Arial"/>
          <w:color w:val="000000"/>
        </w:rPr>
      </w:pPr>
      <w:r w:rsidRPr="00654454">
        <w:rPr>
          <w:rFonts w:ascii="Arial" w:hAnsi="Arial" w:cs="Arial"/>
          <w:color w:val="000000"/>
        </w:rPr>
        <w:t xml:space="preserve">This gives assurance to our Board, stakeholders and customers to supports legitimacy as to the level of performance and service that we are providing and reporting. </w:t>
      </w:r>
    </w:p>
    <w:p w:rsidR="001841DC" w:rsidRPr="00654454" w:rsidRDefault="001841DC" w:rsidP="001841DC">
      <w:pPr>
        <w:autoSpaceDE w:val="0"/>
        <w:autoSpaceDN w:val="0"/>
        <w:adjustRightInd w:val="0"/>
        <w:spacing w:after="0" w:line="240" w:lineRule="auto"/>
        <w:ind w:left="502"/>
        <w:jc w:val="both"/>
        <w:rPr>
          <w:rFonts w:ascii="Arial" w:hAnsi="Arial" w:cs="Arial"/>
          <w:color w:val="000000"/>
        </w:rPr>
      </w:pPr>
    </w:p>
    <w:p w:rsidR="001841DC" w:rsidRPr="00837771" w:rsidRDefault="00773BC9" w:rsidP="00773BC9">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2.3</w:t>
      </w:r>
      <w:r>
        <w:rPr>
          <w:rFonts w:ascii="Arial" w:hAnsi="Arial" w:cs="Arial"/>
          <w:color w:val="000000"/>
        </w:rPr>
        <w:tab/>
      </w:r>
      <w:r w:rsidR="001841DC" w:rsidRPr="00837771">
        <w:rPr>
          <w:rFonts w:ascii="Arial" w:hAnsi="Arial" w:cs="Arial"/>
          <w:color w:val="000000"/>
        </w:rPr>
        <w:t>We</w:t>
      </w:r>
      <w:r w:rsidR="001841DC" w:rsidRPr="00837771">
        <w:rPr>
          <w:rFonts w:ascii="Arial" w:hAnsi="Arial" w:cs="Arial"/>
        </w:rPr>
        <w:t xml:space="preserve"> </w:t>
      </w:r>
      <w:r w:rsidR="001841DC" w:rsidRPr="00837771">
        <w:rPr>
          <w:rFonts w:ascii="Arial" w:hAnsi="Arial" w:cs="Arial"/>
          <w:color w:val="000000"/>
        </w:rPr>
        <w:t>consider that we already have in place robust processes and systems of control that provide the necessary internal assurance in respect of the reliability and completeness of the information published. For each of the Performance Measures, we will continue to apply these. However, in making this assessment we have undertaken robust challenges and sought feedback, as described in Section 1. The following summarises the processes and systems of control in place.</w:t>
      </w:r>
    </w:p>
    <w:p w:rsidR="001841DC" w:rsidRDefault="001841DC" w:rsidP="001841DC">
      <w:pPr>
        <w:pStyle w:val="Heading1"/>
        <w:jc w:val="both"/>
        <w:rPr>
          <w:rFonts w:ascii="Arial" w:hAnsi="Arial" w:cs="Arial"/>
          <w:b/>
          <w:color w:val="auto"/>
          <w:sz w:val="22"/>
          <w:szCs w:val="22"/>
        </w:rPr>
      </w:pPr>
      <w:bookmarkStart w:id="0" w:name="_Toc1632179"/>
      <w:bookmarkStart w:id="1" w:name="_Toc1653302"/>
      <w:bookmarkStart w:id="2" w:name="_Toc1655522"/>
      <w:r w:rsidRPr="002346DC">
        <w:rPr>
          <w:rFonts w:ascii="Arial" w:hAnsi="Arial" w:cs="Arial"/>
          <w:b/>
          <w:color w:val="auto"/>
          <w:sz w:val="22"/>
          <w:szCs w:val="22"/>
        </w:rPr>
        <w:t>Governance Structure</w:t>
      </w:r>
      <w:bookmarkEnd w:id="0"/>
      <w:bookmarkEnd w:id="1"/>
      <w:bookmarkEnd w:id="2"/>
    </w:p>
    <w:p w:rsidR="001841DC" w:rsidRDefault="001841DC" w:rsidP="001841DC">
      <w:pPr>
        <w:pStyle w:val="Heading2"/>
        <w:jc w:val="both"/>
        <w:rPr>
          <w:rFonts w:ascii="Arial" w:hAnsi="Arial" w:cs="Arial"/>
          <w:b/>
          <w:color w:val="auto"/>
          <w:sz w:val="22"/>
          <w:szCs w:val="22"/>
        </w:rPr>
      </w:pPr>
    </w:p>
    <w:p w:rsidR="001841DC" w:rsidRPr="00837771" w:rsidRDefault="001841DC" w:rsidP="00773BC9">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2.4</w:t>
      </w:r>
      <w:r>
        <w:rPr>
          <w:rFonts w:ascii="Arial" w:hAnsi="Arial" w:cs="Arial"/>
          <w:color w:val="000000"/>
        </w:rPr>
        <w:tab/>
      </w:r>
      <w:r w:rsidRPr="00837771">
        <w:rPr>
          <w:rFonts w:ascii="Arial" w:hAnsi="Arial" w:cs="Arial"/>
          <w:color w:val="000000"/>
        </w:rPr>
        <w:t xml:space="preserve">Within the business we have well-established governance and accountability processes. This is shown in Figure 1. </w:t>
      </w:r>
    </w:p>
    <w:p w:rsidR="001841DC" w:rsidRPr="00654454" w:rsidRDefault="001841DC" w:rsidP="001841DC">
      <w:pPr>
        <w:autoSpaceDE w:val="0"/>
        <w:autoSpaceDN w:val="0"/>
        <w:adjustRightInd w:val="0"/>
        <w:spacing w:after="0" w:line="240" w:lineRule="auto"/>
        <w:rPr>
          <w:rFonts w:ascii="Arial" w:hAnsi="Arial" w:cs="Arial"/>
          <w:b/>
        </w:rPr>
      </w:pPr>
    </w:p>
    <w:p w:rsidR="001841DC" w:rsidRPr="00654454" w:rsidRDefault="001841DC" w:rsidP="001841DC">
      <w:pPr>
        <w:autoSpaceDE w:val="0"/>
        <w:autoSpaceDN w:val="0"/>
        <w:adjustRightInd w:val="0"/>
        <w:spacing w:after="0" w:line="240" w:lineRule="auto"/>
        <w:rPr>
          <w:rFonts w:ascii="Arial" w:hAnsi="Arial" w:cs="Arial"/>
          <w:b/>
        </w:rPr>
      </w:pPr>
    </w:p>
    <w:p w:rsidR="001841DC" w:rsidRPr="00654454" w:rsidRDefault="001841DC" w:rsidP="001841DC">
      <w:pPr>
        <w:pStyle w:val="NormalWeb"/>
        <w:spacing w:before="0" w:beforeAutospacing="0" w:after="118" w:afterAutospacing="0" w:line="216" w:lineRule="auto"/>
        <w:jc w:val="center"/>
        <w:rPr>
          <w:rFonts w:ascii="Arial" w:hAnsi="Arial" w:cs="Arial"/>
          <w:sz w:val="22"/>
          <w:szCs w:val="22"/>
        </w:rPr>
      </w:pPr>
      <w:r w:rsidRPr="00654454">
        <w:rPr>
          <w:rFonts w:ascii="Arial" w:hAnsi="Arial" w:cs="Arial"/>
          <w:noProof/>
          <w:color w:val="FFFFFF" w:themeColor="background1"/>
          <w:kern w:val="24"/>
          <w:sz w:val="22"/>
          <w:szCs w:val="22"/>
        </w:rPr>
        <w:drawing>
          <wp:inline distT="0" distB="0" distL="0" distR="0" wp14:anchorId="42268978" wp14:editId="5B748959">
            <wp:extent cx="4565073" cy="2389909"/>
            <wp:effectExtent l="19050" t="19050" r="45085" b="107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654454">
        <w:rPr>
          <w:rFonts w:ascii="Arial" w:hAnsi="Arial" w:cs="Arial"/>
          <w:color w:val="FFFFFF" w:themeColor="background1"/>
          <w:kern w:val="24"/>
          <w:sz w:val="22"/>
          <w:szCs w:val="22"/>
        </w:rPr>
        <w:t xml:space="preserve"> </w:t>
      </w:r>
    </w:p>
    <w:p w:rsidR="001841DC" w:rsidRPr="00654454" w:rsidRDefault="001841DC" w:rsidP="001841DC">
      <w:pPr>
        <w:jc w:val="center"/>
        <w:rPr>
          <w:rFonts w:ascii="Arial" w:hAnsi="Arial" w:cs="Arial"/>
          <w:b/>
          <w:color w:val="000000"/>
        </w:rPr>
      </w:pPr>
      <w:r w:rsidRPr="00654454">
        <w:rPr>
          <w:rFonts w:ascii="Arial" w:hAnsi="Arial" w:cs="Arial"/>
          <w:b/>
          <w:color w:val="000000"/>
        </w:rPr>
        <w:t>Figure 1 Governance structure</w:t>
      </w:r>
    </w:p>
    <w:p w:rsidR="001841DC" w:rsidRDefault="001841DC" w:rsidP="001841DC">
      <w:pPr>
        <w:rPr>
          <w:rFonts w:ascii="Arial" w:hAnsi="Arial" w:cs="Arial"/>
          <w:b/>
        </w:rPr>
      </w:pPr>
      <w:r>
        <w:rPr>
          <w:rFonts w:ascii="Arial" w:hAnsi="Arial" w:cs="Arial"/>
          <w:b/>
        </w:rPr>
        <w:br w:type="page"/>
      </w:r>
    </w:p>
    <w:p w:rsidR="001841DC" w:rsidRPr="00654454" w:rsidRDefault="001841DC" w:rsidP="001841DC">
      <w:pPr>
        <w:autoSpaceDE w:val="0"/>
        <w:autoSpaceDN w:val="0"/>
        <w:adjustRightInd w:val="0"/>
        <w:spacing w:after="0" w:line="240" w:lineRule="auto"/>
        <w:rPr>
          <w:rFonts w:ascii="Arial" w:hAnsi="Arial" w:cs="Arial"/>
          <w:b/>
          <w:color w:val="000000"/>
        </w:rPr>
      </w:pPr>
      <w:r w:rsidRPr="00654454">
        <w:rPr>
          <w:rFonts w:ascii="Arial" w:hAnsi="Arial" w:cs="Arial"/>
          <w:b/>
          <w:color w:val="000000"/>
        </w:rPr>
        <w:t>Board</w:t>
      </w:r>
    </w:p>
    <w:p w:rsidR="001841DC" w:rsidRPr="00654454" w:rsidRDefault="001841DC" w:rsidP="001841DC">
      <w:pPr>
        <w:autoSpaceDE w:val="0"/>
        <w:autoSpaceDN w:val="0"/>
        <w:adjustRightInd w:val="0"/>
        <w:spacing w:after="0" w:line="240" w:lineRule="auto"/>
        <w:rPr>
          <w:rFonts w:ascii="Arial" w:hAnsi="Arial" w:cs="Arial"/>
          <w:color w:val="000000"/>
        </w:rPr>
      </w:pPr>
    </w:p>
    <w:p w:rsidR="001841DC" w:rsidRPr="00837771" w:rsidRDefault="001841DC" w:rsidP="00773BC9">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2.5</w:t>
      </w:r>
      <w:r>
        <w:rPr>
          <w:rFonts w:ascii="Arial" w:hAnsi="Arial" w:cs="Arial"/>
          <w:color w:val="000000"/>
        </w:rPr>
        <w:tab/>
      </w:r>
      <w:r w:rsidRPr="00837771">
        <w:rPr>
          <w:rFonts w:ascii="Arial" w:hAnsi="Arial" w:cs="Arial"/>
          <w:color w:val="000000"/>
        </w:rPr>
        <w:t>The Board seeks assurance that risk management systems and processes are identified and risks are managed through the following:</w:t>
      </w:r>
    </w:p>
    <w:p w:rsidR="001841DC" w:rsidRPr="00654454" w:rsidRDefault="001841DC" w:rsidP="001841DC">
      <w:pPr>
        <w:autoSpaceDE w:val="0"/>
        <w:autoSpaceDN w:val="0"/>
        <w:adjustRightInd w:val="0"/>
        <w:spacing w:after="0" w:line="240" w:lineRule="auto"/>
        <w:ind w:left="294"/>
        <w:rPr>
          <w:rFonts w:ascii="Arial" w:hAnsi="Arial" w:cs="Arial"/>
          <w:color w:val="000000"/>
        </w:rPr>
      </w:pPr>
    </w:p>
    <w:p w:rsidR="001841DC" w:rsidRPr="00654454" w:rsidRDefault="001841DC" w:rsidP="00944ED0">
      <w:pPr>
        <w:pStyle w:val="ListParagraph"/>
        <w:numPr>
          <w:ilvl w:val="0"/>
          <w:numId w:val="3"/>
        </w:numPr>
        <w:autoSpaceDE w:val="0"/>
        <w:autoSpaceDN w:val="0"/>
        <w:adjustRightInd w:val="0"/>
        <w:spacing w:after="0" w:line="240" w:lineRule="auto"/>
        <w:ind w:left="1374"/>
        <w:jc w:val="both"/>
        <w:rPr>
          <w:rFonts w:ascii="Arial" w:hAnsi="Arial" w:cs="Arial"/>
          <w:color w:val="000000"/>
        </w:rPr>
      </w:pPr>
      <w:r w:rsidRPr="00654454">
        <w:rPr>
          <w:rFonts w:ascii="Arial" w:hAnsi="Arial" w:cs="Arial"/>
          <w:color w:val="000000"/>
        </w:rPr>
        <w:t>Monthly performance reports to the Board outlining achievement against Performance Measures</w:t>
      </w:r>
      <w:r w:rsidR="003047E5">
        <w:rPr>
          <w:rFonts w:ascii="Arial" w:hAnsi="Arial" w:cs="Arial"/>
          <w:color w:val="000000"/>
        </w:rPr>
        <w:t xml:space="preserve"> and financial results including Totex</w:t>
      </w:r>
    </w:p>
    <w:p w:rsidR="001841DC" w:rsidRPr="00654454" w:rsidRDefault="001841DC" w:rsidP="00944ED0">
      <w:pPr>
        <w:pStyle w:val="ListParagraph"/>
        <w:numPr>
          <w:ilvl w:val="0"/>
          <w:numId w:val="3"/>
        </w:numPr>
        <w:autoSpaceDE w:val="0"/>
        <w:autoSpaceDN w:val="0"/>
        <w:adjustRightInd w:val="0"/>
        <w:spacing w:after="0" w:line="240" w:lineRule="auto"/>
        <w:ind w:left="1374"/>
        <w:jc w:val="both"/>
        <w:rPr>
          <w:rFonts w:ascii="Arial" w:hAnsi="Arial" w:cs="Arial"/>
          <w:color w:val="000000"/>
        </w:rPr>
      </w:pPr>
      <w:r w:rsidRPr="00654454">
        <w:rPr>
          <w:rFonts w:ascii="Arial" w:hAnsi="Arial" w:cs="Arial"/>
          <w:color w:val="000000"/>
        </w:rPr>
        <w:t>Compliance with standards</w:t>
      </w:r>
      <w:r w:rsidR="003047E5">
        <w:rPr>
          <w:rFonts w:ascii="Arial" w:hAnsi="Arial" w:cs="Arial"/>
          <w:color w:val="000000"/>
        </w:rPr>
        <w:t>,</w:t>
      </w:r>
      <w:r w:rsidRPr="00654454">
        <w:rPr>
          <w:rFonts w:ascii="Arial" w:hAnsi="Arial" w:cs="Arial"/>
          <w:color w:val="000000"/>
        </w:rPr>
        <w:t xml:space="preserve"> guidance</w:t>
      </w:r>
      <w:r w:rsidR="003047E5">
        <w:rPr>
          <w:rFonts w:ascii="Arial" w:hAnsi="Arial" w:cs="Arial"/>
          <w:color w:val="000000"/>
        </w:rPr>
        <w:t xml:space="preserve"> and policies</w:t>
      </w:r>
    </w:p>
    <w:p w:rsidR="001841DC" w:rsidRPr="00654454" w:rsidRDefault="001841DC" w:rsidP="00944ED0">
      <w:pPr>
        <w:pStyle w:val="ListParagraph"/>
        <w:numPr>
          <w:ilvl w:val="0"/>
          <w:numId w:val="3"/>
        </w:numPr>
        <w:autoSpaceDE w:val="0"/>
        <w:autoSpaceDN w:val="0"/>
        <w:adjustRightInd w:val="0"/>
        <w:spacing w:after="0" w:line="240" w:lineRule="auto"/>
        <w:ind w:left="1374"/>
        <w:jc w:val="both"/>
        <w:rPr>
          <w:rFonts w:ascii="Arial" w:hAnsi="Arial" w:cs="Arial"/>
          <w:color w:val="000000"/>
        </w:rPr>
      </w:pPr>
      <w:r w:rsidRPr="00654454">
        <w:rPr>
          <w:rFonts w:ascii="Arial" w:hAnsi="Arial" w:cs="Arial"/>
          <w:color w:val="000000"/>
        </w:rPr>
        <w:t>Assurance from the Audit Committee that the company’s data reporting is accurate, complete, reliable, relevant and timely</w:t>
      </w:r>
    </w:p>
    <w:p w:rsidR="001841DC" w:rsidRDefault="001841DC" w:rsidP="00944ED0">
      <w:pPr>
        <w:pStyle w:val="ListParagraph"/>
        <w:numPr>
          <w:ilvl w:val="0"/>
          <w:numId w:val="3"/>
        </w:numPr>
        <w:autoSpaceDE w:val="0"/>
        <w:autoSpaceDN w:val="0"/>
        <w:adjustRightInd w:val="0"/>
        <w:spacing w:after="0" w:line="240" w:lineRule="auto"/>
        <w:ind w:left="1374"/>
        <w:jc w:val="both"/>
        <w:rPr>
          <w:rFonts w:ascii="Arial" w:hAnsi="Arial" w:cs="Arial"/>
          <w:color w:val="000000"/>
        </w:rPr>
      </w:pPr>
      <w:r w:rsidRPr="00654454">
        <w:rPr>
          <w:rFonts w:ascii="Arial" w:hAnsi="Arial" w:cs="Arial"/>
          <w:color w:val="000000"/>
        </w:rPr>
        <w:t>Annual review of the Data Assurance Plan</w:t>
      </w:r>
    </w:p>
    <w:p w:rsidR="003047E5" w:rsidRPr="00654454" w:rsidRDefault="003047E5" w:rsidP="00944ED0">
      <w:pPr>
        <w:pStyle w:val="ListParagraph"/>
        <w:numPr>
          <w:ilvl w:val="0"/>
          <w:numId w:val="3"/>
        </w:numPr>
        <w:autoSpaceDE w:val="0"/>
        <w:autoSpaceDN w:val="0"/>
        <w:adjustRightInd w:val="0"/>
        <w:spacing w:after="0" w:line="240" w:lineRule="auto"/>
        <w:ind w:left="1374"/>
        <w:jc w:val="both"/>
        <w:rPr>
          <w:rFonts w:ascii="Arial" w:hAnsi="Arial" w:cs="Arial"/>
          <w:color w:val="000000"/>
        </w:rPr>
      </w:pPr>
      <w:r>
        <w:rPr>
          <w:rFonts w:ascii="Arial" w:hAnsi="Arial" w:cs="Arial"/>
          <w:color w:val="000000"/>
        </w:rPr>
        <w:t>Board approval of the Statutory Accounts (which underpin financial aspects of the APR).</w:t>
      </w:r>
    </w:p>
    <w:p w:rsidR="001841DC" w:rsidRPr="00654454" w:rsidRDefault="001841DC" w:rsidP="00944ED0">
      <w:pPr>
        <w:pStyle w:val="ListParagraph"/>
        <w:numPr>
          <w:ilvl w:val="0"/>
          <w:numId w:val="3"/>
        </w:numPr>
        <w:autoSpaceDE w:val="0"/>
        <w:autoSpaceDN w:val="0"/>
        <w:adjustRightInd w:val="0"/>
        <w:spacing w:after="0" w:line="240" w:lineRule="auto"/>
        <w:ind w:left="1374"/>
        <w:jc w:val="both"/>
        <w:rPr>
          <w:rFonts w:ascii="Arial" w:hAnsi="Arial" w:cs="Arial"/>
          <w:color w:val="000000"/>
        </w:rPr>
      </w:pPr>
      <w:r w:rsidRPr="00654454">
        <w:rPr>
          <w:rFonts w:ascii="Arial" w:hAnsi="Arial" w:cs="Arial"/>
          <w:color w:val="000000"/>
        </w:rPr>
        <w:t>Board Assurance Framework</w:t>
      </w:r>
    </w:p>
    <w:p w:rsidR="001841DC" w:rsidRPr="00654454" w:rsidRDefault="001841DC" w:rsidP="00944ED0">
      <w:pPr>
        <w:pStyle w:val="ListParagraph"/>
        <w:numPr>
          <w:ilvl w:val="0"/>
          <w:numId w:val="3"/>
        </w:numPr>
        <w:autoSpaceDE w:val="0"/>
        <w:autoSpaceDN w:val="0"/>
        <w:adjustRightInd w:val="0"/>
        <w:spacing w:after="0" w:line="240" w:lineRule="auto"/>
        <w:ind w:left="1374"/>
        <w:jc w:val="both"/>
        <w:rPr>
          <w:rFonts w:ascii="Arial" w:hAnsi="Arial" w:cs="Arial"/>
          <w:color w:val="000000"/>
        </w:rPr>
      </w:pPr>
      <w:r w:rsidRPr="00654454">
        <w:rPr>
          <w:rFonts w:ascii="Arial" w:hAnsi="Arial" w:cs="Arial"/>
          <w:color w:val="000000"/>
        </w:rPr>
        <w:t>Company’s progress against its strategic and corporate objectives.</w:t>
      </w:r>
    </w:p>
    <w:p w:rsidR="001841DC" w:rsidRPr="00654454" w:rsidRDefault="001841DC" w:rsidP="001841DC">
      <w:pPr>
        <w:autoSpaceDE w:val="0"/>
        <w:autoSpaceDN w:val="0"/>
        <w:adjustRightInd w:val="0"/>
        <w:spacing w:after="0" w:line="240" w:lineRule="auto"/>
        <w:ind w:firstLine="720"/>
        <w:jc w:val="both"/>
        <w:rPr>
          <w:rFonts w:ascii="Arial" w:hAnsi="Arial" w:cs="Arial"/>
          <w:color w:val="000000"/>
        </w:rPr>
      </w:pPr>
    </w:p>
    <w:p w:rsidR="001841DC" w:rsidRPr="00654454" w:rsidRDefault="001841DC" w:rsidP="001841DC">
      <w:pPr>
        <w:autoSpaceDE w:val="0"/>
        <w:autoSpaceDN w:val="0"/>
        <w:adjustRightInd w:val="0"/>
        <w:spacing w:after="0" w:line="240" w:lineRule="auto"/>
        <w:ind w:firstLine="720"/>
        <w:jc w:val="both"/>
        <w:rPr>
          <w:rFonts w:ascii="Arial" w:hAnsi="Arial" w:cs="Arial"/>
          <w:color w:val="000000"/>
        </w:rPr>
      </w:pPr>
      <w:r w:rsidRPr="00654454">
        <w:rPr>
          <w:rFonts w:ascii="Arial" w:hAnsi="Arial" w:cs="Arial"/>
          <w:color w:val="000000"/>
        </w:rPr>
        <w:t>This allows the Board to sign off the Annual Performance Report</w:t>
      </w:r>
    </w:p>
    <w:p w:rsidR="001841DC" w:rsidRPr="00654454" w:rsidRDefault="001841DC" w:rsidP="001841DC">
      <w:pPr>
        <w:autoSpaceDE w:val="0"/>
        <w:autoSpaceDN w:val="0"/>
        <w:adjustRightInd w:val="0"/>
        <w:spacing w:after="0" w:line="240" w:lineRule="auto"/>
        <w:ind w:left="294"/>
        <w:jc w:val="both"/>
        <w:rPr>
          <w:rFonts w:ascii="Arial" w:hAnsi="Arial" w:cs="Arial"/>
          <w:color w:val="000000"/>
        </w:rPr>
      </w:pPr>
    </w:p>
    <w:p w:rsidR="001841DC" w:rsidRPr="00654454" w:rsidRDefault="001841DC" w:rsidP="001841DC">
      <w:pPr>
        <w:autoSpaceDE w:val="0"/>
        <w:autoSpaceDN w:val="0"/>
        <w:adjustRightInd w:val="0"/>
        <w:spacing w:after="0" w:line="240" w:lineRule="auto"/>
        <w:jc w:val="both"/>
        <w:rPr>
          <w:rFonts w:ascii="Arial" w:hAnsi="Arial" w:cs="Arial"/>
          <w:b/>
          <w:color w:val="000000"/>
        </w:rPr>
      </w:pPr>
      <w:r w:rsidRPr="00654454">
        <w:rPr>
          <w:rFonts w:ascii="Arial" w:hAnsi="Arial" w:cs="Arial"/>
          <w:b/>
          <w:color w:val="000000"/>
        </w:rPr>
        <w:t>Audit Committee</w:t>
      </w:r>
    </w:p>
    <w:p w:rsidR="001841DC" w:rsidRPr="00654454" w:rsidRDefault="001841DC" w:rsidP="001841DC">
      <w:pPr>
        <w:autoSpaceDE w:val="0"/>
        <w:autoSpaceDN w:val="0"/>
        <w:adjustRightInd w:val="0"/>
        <w:spacing w:after="0" w:line="240" w:lineRule="auto"/>
        <w:ind w:firstLine="142"/>
        <w:jc w:val="both"/>
        <w:rPr>
          <w:rFonts w:ascii="Arial" w:hAnsi="Arial" w:cs="Arial"/>
          <w:b/>
          <w:color w:val="000000"/>
        </w:rPr>
      </w:pPr>
    </w:p>
    <w:p w:rsidR="001841DC" w:rsidRPr="00773BC9" w:rsidRDefault="00773BC9" w:rsidP="00773BC9">
      <w:pPr>
        <w:autoSpaceDE w:val="0"/>
        <w:autoSpaceDN w:val="0"/>
        <w:adjustRightInd w:val="0"/>
        <w:spacing w:after="0" w:line="240" w:lineRule="auto"/>
        <w:ind w:left="720" w:hanging="720"/>
        <w:jc w:val="both"/>
        <w:rPr>
          <w:rFonts w:ascii="Arial" w:hAnsi="Arial" w:cs="Arial"/>
          <w:color w:val="000000"/>
        </w:rPr>
      </w:pPr>
      <w:r>
        <w:rPr>
          <w:rFonts w:ascii="Arial" w:hAnsi="Arial" w:cs="Arial"/>
        </w:rPr>
        <w:t>2.6</w:t>
      </w:r>
      <w:r>
        <w:rPr>
          <w:rFonts w:ascii="Arial" w:hAnsi="Arial" w:cs="Arial"/>
        </w:rPr>
        <w:tab/>
      </w:r>
      <w:r w:rsidR="001841DC" w:rsidRPr="00773BC9">
        <w:rPr>
          <w:rFonts w:ascii="Arial" w:hAnsi="Arial" w:cs="Arial"/>
        </w:rPr>
        <w:t>The Audit Committee has responsibility for the review and approval of reporting information including the annual statutory accounts and the APR.  Following review the Audit committee makes recommendation for approval to the Board.  As part of this responsibility the Committee monitors the effectiveness of internal control processes across the business.</w:t>
      </w:r>
    </w:p>
    <w:p w:rsidR="001841DC" w:rsidRPr="00654454" w:rsidRDefault="001841DC" w:rsidP="001841DC">
      <w:pPr>
        <w:autoSpaceDE w:val="0"/>
        <w:autoSpaceDN w:val="0"/>
        <w:adjustRightInd w:val="0"/>
        <w:spacing w:after="0" w:line="240" w:lineRule="auto"/>
        <w:ind w:left="720"/>
        <w:jc w:val="both"/>
        <w:rPr>
          <w:rFonts w:ascii="Arial" w:hAnsi="Arial" w:cs="Arial"/>
          <w:b/>
          <w:color w:val="000000"/>
        </w:rPr>
      </w:pPr>
    </w:p>
    <w:p w:rsidR="001841DC" w:rsidRPr="00654454" w:rsidRDefault="001841DC" w:rsidP="00773BC9">
      <w:pPr>
        <w:autoSpaceDE w:val="0"/>
        <w:autoSpaceDN w:val="0"/>
        <w:ind w:left="720"/>
        <w:jc w:val="both"/>
        <w:rPr>
          <w:rFonts w:ascii="Arial" w:hAnsi="Arial" w:cs="Arial"/>
        </w:rPr>
      </w:pPr>
      <w:r w:rsidRPr="00654454">
        <w:rPr>
          <w:rFonts w:ascii="Arial" w:hAnsi="Arial" w:cs="Arial"/>
        </w:rPr>
        <w:t>The Committee also has an oversight and approval role with respect to the provision of third party assurance. This primarily relates to the provision of financial assurance by our Financial Auditors (KPMG and Frontier Economics) and non-financial (technical) assurance by the Reporter (Atkins) but also includes other third party assurance generally of a specific technical nature (together the “Assurance Provider”).</w:t>
      </w:r>
    </w:p>
    <w:p w:rsidR="001841DC" w:rsidRPr="00654454" w:rsidRDefault="001841DC" w:rsidP="00773BC9">
      <w:pPr>
        <w:autoSpaceDE w:val="0"/>
        <w:autoSpaceDN w:val="0"/>
        <w:adjustRightInd w:val="0"/>
        <w:spacing w:after="0" w:line="240" w:lineRule="auto"/>
        <w:ind w:left="720"/>
        <w:jc w:val="both"/>
        <w:rPr>
          <w:rFonts w:ascii="Arial" w:hAnsi="Arial" w:cs="Arial"/>
        </w:rPr>
      </w:pPr>
      <w:r w:rsidRPr="00654454">
        <w:rPr>
          <w:rFonts w:ascii="Arial" w:hAnsi="Arial" w:cs="Arial"/>
        </w:rPr>
        <w:t xml:space="preserve">The Committee reviews the scope, quality, results, cost effectiveness, independence and objectivity of any Assurance Provider. </w:t>
      </w:r>
    </w:p>
    <w:p w:rsidR="001841DC" w:rsidRPr="00654454" w:rsidRDefault="001841DC" w:rsidP="001841DC">
      <w:pPr>
        <w:autoSpaceDE w:val="0"/>
        <w:autoSpaceDN w:val="0"/>
        <w:adjustRightInd w:val="0"/>
        <w:spacing w:after="0" w:line="240" w:lineRule="auto"/>
        <w:ind w:left="720"/>
        <w:jc w:val="both"/>
        <w:rPr>
          <w:rFonts w:ascii="Arial" w:hAnsi="Arial" w:cs="Arial"/>
        </w:rPr>
      </w:pPr>
    </w:p>
    <w:p w:rsidR="001841DC" w:rsidRPr="00654454" w:rsidRDefault="001841DC" w:rsidP="00773BC9">
      <w:pPr>
        <w:autoSpaceDE w:val="0"/>
        <w:autoSpaceDN w:val="0"/>
        <w:adjustRightInd w:val="0"/>
        <w:spacing w:after="0" w:line="240" w:lineRule="auto"/>
        <w:ind w:firstLine="720"/>
        <w:jc w:val="both"/>
        <w:rPr>
          <w:rFonts w:ascii="Arial" w:hAnsi="Arial" w:cs="Arial"/>
        </w:rPr>
      </w:pPr>
      <w:r w:rsidRPr="00654454">
        <w:rPr>
          <w:rFonts w:ascii="Arial" w:hAnsi="Arial" w:cs="Arial"/>
        </w:rPr>
        <w:t>The responsibility of the Committee is:</w:t>
      </w:r>
    </w:p>
    <w:p w:rsidR="001841DC" w:rsidRPr="00654454" w:rsidRDefault="001841DC" w:rsidP="001841DC">
      <w:pPr>
        <w:autoSpaceDE w:val="0"/>
        <w:autoSpaceDN w:val="0"/>
        <w:adjustRightInd w:val="0"/>
        <w:spacing w:after="0" w:line="240" w:lineRule="auto"/>
        <w:ind w:left="720"/>
        <w:jc w:val="both"/>
        <w:rPr>
          <w:rFonts w:ascii="Arial" w:hAnsi="Arial" w:cs="Arial"/>
        </w:rPr>
      </w:pPr>
    </w:p>
    <w:p w:rsidR="001841DC" w:rsidRPr="00654454" w:rsidRDefault="001841DC" w:rsidP="00944ED0">
      <w:pPr>
        <w:pStyle w:val="ListParagraph"/>
        <w:numPr>
          <w:ilvl w:val="0"/>
          <w:numId w:val="5"/>
        </w:numPr>
        <w:autoSpaceDE w:val="0"/>
        <w:autoSpaceDN w:val="0"/>
        <w:adjustRightInd w:val="0"/>
        <w:spacing w:after="0" w:line="240" w:lineRule="auto"/>
        <w:ind w:left="1440"/>
        <w:jc w:val="both"/>
        <w:rPr>
          <w:rFonts w:ascii="Arial" w:hAnsi="Arial" w:cs="Arial"/>
        </w:rPr>
      </w:pPr>
      <w:r w:rsidRPr="00654454">
        <w:rPr>
          <w:rFonts w:ascii="Arial" w:hAnsi="Arial" w:cs="Arial"/>
        </w:rPr>
        <w:t xml:space="preserve">To assess the qualification, expertise and independence of the </w:t>
      </w:r>
      <w:r w:rsidR="003047E5">
        <w:rPr>
          <w:rFonts w:ascii="Arial" w:hAnsi="Arial" w:cs="Arial"/>
        </w:rPr>
        <w:t>A</w:t>
      </w:r>
      <w:r w:rsidRPr="00654454">
        <w:rPr>
          <w:rFonts w:ascii="Arial" w:hAnsi="Arial" w:cs="Arial"/>
        </w:rPr>
        <w:t xml:space="preserve">ssurance </w:t>
      </w:r>
      <w:r w:rsidR="003047E5">
        <w:rPr>
          <w:rFonts w:ascii="Arial" w:hAnsi="Arial" w:cs="Arial"/>
        </w:rPr>
        <w:t>P</w:t>
      </w:r>
      <w:r w:rsidRPr="00654454">
        <w:rPr>
          <w:rFonts w:ascii="Arial" w:hAnsi="Arial" w:cs="Arial"/>
        </w:rPr>
        <w:t>rovider</w:t>
      </w:r>
    </w:p>
    <w:p w:rsidR="001841DC" w:rsidRPr="00654454" w:rsidRDefault="001841DC" w:rsidP="00944ED0">
      <w:pPr>
        <w:pStyle w:val="ListParagraph"/>
        <w:numPr>
          <w:ilvl w:val="0"/>
          <w:numId w:val="5"/>
        </w:numPr>
        <w:autoSpaceDE w:val="0"/>
        <w:autoSpaceDN w:val="0"/>
        <w:adjustRightInd w:val="0"/>
        <w:spacing w:after="0" w:line="240" w:lineRule="auto"/>
        <w:ind w:left="1440"/>
        <w:jc w:val="both"/>
        <w:rPr>
          <w:rFonts w:ascii="Arial" w:hAnsi="Arial" w:cs="Arial"/>
        </w:rPr>
      </w:pPr>
      <w:r w:rsidRPr="00654454">
        <w:rPr>
          <w:rFonts w:ascii="Arial" w:hAnsi="Arial" w:cs="Arial"/>
        </w:rPr>
        <w:t>To review the nature and scope of the assurance</w:t>
      </w:r>
    </w:p>
    <w:p w:rsidR="001841DC" w:rsidRPr="00654454" w:rsidRDefault="001841DC" w:rsidP="00944ED0">
      <w:pPr>
        <w:pStyle w:val="ListParagraph"/>
        <w:numPr>
          <w:ilvl w:val="0"/>
          <w:numId w:val="5"/>
        </w:numPr>
        <w:autoSpaceDE w:val="0"/>
        <w:autoSpaceDN w:val="0"/>
        <w:adjustRightInd w:val="0"/>
        <w:spacing w:after="0" w:line="240" w:lineRule="auto"/>
        <w:ind w:left="1440"/>
        <w:jc w:val="both"/>
        <w:rPr>
          <w:rFonts w:ascii="Arial" w:hAnsi="Arial" w:cs="Arial"/>
        </w:rPr>
      </w:pPr>
      <w:r w:rsidRPr="00654454">
        <w:rPr>
          <w:rFonts w:ascii="Arial" w:hAnsi="Arial" w:cs="Arial"/>
        </w:rPr>
        <w:t>To review, with management, the fee and letter of engagement/terms of reference</w:t>
      </w:r>
    </w:p>
    <w:p w:rsidR="001841DC" w:rsidRPr="00654454" w:rsidRDefault="001841DC" w:rsidP="00944ED0">
      <w:pPr>
        <w:pStyle w:val="ListParagraph"/>
        <w:numPr>
          <w:ilvl w:val="0"/>
          <w:numId w:val="5"/>
        </w:numPr>
        <w:autoSpaceDE w:val="0"/>
        <w:autoSpaceDN w:val="0"/>
        <w:adjustRightInd w:val="0"/>
        <w:spacing w:after="0" w:line="240" w:lineRule="auto"/>
        <w:ind w:left="1440"/>
        <w:jc w:val="both"/>
        <w:rPr>
          <w:rFonts w:ascii="Arial" w:hAnsi="Arial" w:cs="Arial"/>
        </w:rPr>
      </w:pPr>
      <w:r w:rsidRPr="00654454">
        <w:rPr>
          <w:rFonts w:ascii="Arial" w:hAnsi="Arial" w:cs="Arial"/>
        </w:rPr>
        <w:t>To consider the results, findings and recommendations of the Assurance Provider and to make such reports and/or recommendations to the Board as considered necessary</w:t>
      </w:r>
    </w:p>
    <w:p w:rsidR="001841DC" w:rsidRPr="00654454" w:rsidRDefault="001841DC" w:rsidP="00944ED0">
      <w:pPr>
        <w:pStyle w:val="ListParagraph"/>
        <w:numPr>
          <w:ilvl w:val="0"/>
          <w:numId w:val="5"/>
        </w:numPr>
        <w:autoSpaceDE w:val="0"/>
        <w:autoSpaceDN w:val="0"/>
        <w:adjustRightInd w:val="0"/>
        <w:spacing w:after="0" w:line="240" w:lineRule="auto"/>
        <w:ind w:left="1440"/>
        <w:jc w:val="both"/>
        <w:rPr>
          <w:rFonts w:ascii="Arial" w:hAnsi="Arial" w:cs="Arial"/>
          <w:color w:val="000000"/>
        </w:rPr>
      </w:pPr>
      <w:r w:rsidRPr="00654454">
        <w:rPr>
          <w:rFonts w:ascii="Arial" w:hAnsi="Arial" w:cs="Arial"/>
        </w:rPr>
        <w:t>In the case of recurring appointments to consider the ongoing independence and effectiveness of the Assurance Provider and to make appropriate recommendations to the Board regarding the continuance or re-selection process if considered necessary.</w:t>
      </w:r>
    </w:p>
    <w:p w:rsidR="001841DC" w:rsidRPr="00654454" w:rsidRDefault="001841DC" w:rsidP="001841DC">
      <w:pPr>
        <w:jc w:val="both"/>
        <w:rPr>
          <w:rFonts w:ascii="Arial" w:hAnsi="Arial" w:cs="Arial"/>
          <w:color w:val="000000"/>
        </w:rPr>
      </w:pPr>
      <w:r w:rsidRPr="00654454">
        <w:rPr>
          <w:rFonts w:ascii="Arial" w:hAnsi="Arial" w:cs="Arial"/>
          <w:color w:val="000000"/>
        </w:rPr>
        <w:br w:type="page"/>
      </w:r>
    </w:p>
    <w:p w:rsidR="001841DC" w:rsidRPr="00654454" w:rsidRDefault="001841DC" w:rsidP="001841DC">
      <w:pPr>
        <w:autoSpaceDE w:val="0"/>
        <w:autoSpaceDN w:val="0"/>
        <w:adjustRightInd w:val="0"/>
        <w:spacing w:after="0" w:line="240" w:lineRule="auto"/>
        <w:rPr>
          <w:rFonts w:ascii="Arial" w:hAnsi="Arial" w:cs="Arial"/>
          <w:b/>
          <w:color w:val="000000"/>
        </w:rPr>
      </w:pPr>
      <w:r w:rsidRPr="00654454">
        <w:rPr>
          <w:rFonts w:ascii="Arial" w:hAnsi="Arial" w:cs="Arial"/>
          <w:b/>
          <w:color w:val="000000"/>
        </w:rPr>
        <w:t>Management Board</w:t>
      </w:r>
    </w:p>
    <w:p w:rsidR="001841DC" w:rsidRPr="00654454" w:rsidRDefault="001841DC" w:rsidP="001841DC">
      <w:pPr>
        <w:autoSpaceDE w:val="0"/>
        <w:autoSpaceDN w:val="0"/>
        <w:adjustRightInd w:val="0"/>
        <w:spacing w:after="0" w:line="240" w:lineRule="auto"/>
        <w:ind w:left="502"/>
        <w:rPr>
          <w:rFonts w:ascii="Arial" w:hAnsi="Arial" w:cs="Arial"/>
          <w:b/>
          <w:color w:val="000000"/>
        </w:rPr>
      </w:pPr>
    </w:p>
    <w:p w:rsidR="001841DC" w:rsidRPr="00773BC9" w:rsidRDefault="00773BC9" w:rsidP="00773BC9">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2.7</w:t>
      </w:r>
      <w:r>
        <w:rPr>
          <w:rFonts w:ascii="Arial" w:hAnsi="Arial" w:cs="Arial"/>
          <w:color w:val="000000"/>
        </w:rPr>
        <w:tab/>
      </w:r>
      <w:r w:rsidR="001841DC" w:rsidRPr="00773BC9">
        <w:rPr>
          <w:rFonts w:ascii="Arial" w:hAnsi="Arial" w:cs="Arial"/>
          <w:color w:val="000000"/>
        </w:rPr>
        <w:t xml:space="preserve">Financial and Performance Measures are reported to the Management Board monthly. The Finance department prepare the Financial Performance and signs off the report.  </w:t>
      </w:r>
    </w:p>
    <w:p w:rsidR="001841DC" w:rsidRDefault="001841DC" w:rsidP="001841DC">
      <w:pPr>
        <w:pStyle w:val="ListParagraph"/>
        <w:autoSpaceDE w:val="0"/>
        <w:autoSpaceDN w:val="0"/>
        <w:adjustRightInd w:val="0"/>
        <w:spacing w:after="0" w:line="240" w:lineRule="auto"/>
        <w:ind w:left="502"/>
        <w:jc w:val="both"/>
        <w:rPr>
          <w:rFonts w:ascii="Arial" w:hAnsi="Arial" w:cs="Arial"/>
          <w:color w:val="000000"/>
        </w:rPr>
      </w:pPr>
    </w:p>
    <w:p w:rsidR="001841DC" w:rsidRPr="00837771" w:rsidRDefault="001841DC" w:rsidP="00773BC9">
      <w:pPr>
        <w:autoSpaceDE w:val="0"/>
        <w:autoSpaceDN w:val="0"/>
        <w:adjustRightInd w:val="0"/>
        <w:spacing w:after="0" w:line="240" w:lineRule="auto"/>
        <w:ind w:left="720"/>
        <w:jc w:val="both"/>
        <w:rPr>
          <w:rFonts w:ascii="Arial" w:hAnsi="Arial" w:cs="Arial"/>
          <w:color w:val="000000"/>
        </w:rPr>
      </w:pPr>
      <w:r w:rsidRPr="00837771">
        <w:rPr>
          <w:rFonts w:ascii="Arial" w:hAnsi="Arial" w:cs="Arial"/>
          <w:color w:val="000000"/>
        </w:rPr>
        <w:t>The Regulation department prepares the Performance Measures Report. Part of this monthly process includes reviewing the data from each department. The report is reviewed by the Regulation Manager who signs it off monthly before discussion at Management Board. Discussions are held with data owners on any issues found with the data prior to sign off.</w:t>
      </w:r>
    </w:p>
    <w:p w:rsidR="001841DC" w:rsidRPr="00654454" w:rsidRDefault="001841DC" w:rsidP="001841DC">
      <w:pPr>
        <w:autoSpaceDE w:val="0"/>
        <w:autoSpaceDN w:val="0"/>
        <w:adjustRightInd w:val="0"/>
        <w:spacing w:after="0" w:line="240" w:lineRule="auto"/>
        <w:ind w:left="720"/>
        <w:jc w:val="both"/>
        <w:rPr>
          <w:rFonts w:ascii="Arial" w:hAnsi="Arial" w:cs="Arial"/>
          <w:color w:val="000000"/>
        </w:rPr>
      </w:pPr>
    </w:p>
    <w:p w:rsidR="001841DC" w:rsidRPr="00654454" w:rsidRDefault="001841DC" w:rsidP="001841DC">
      <w:pPr>
        <w:autoSpaceDE w:val="0"/>
        <w:autoSpaceDN w:val="0"/>
        <w:adjustRightInd w:val="0"/>
        <w:spacing w:after="0" w:line="240" w:lineRule="auto"/>
        <w:jc w:val="both"/>
        <w:rPr>
          <w:rFonts w:ascii="Arial" w:hAnsi="Arial" w:cs="Arial"/>
          <w:b/>
        </w:rPr>
      </w:pPr>
      <w:r w:rsidRPr="00654454">
        <w:rPr>
          <w:rFonts w:ascii="Arial" w:hAnsi="Arial" w:cs="Arial"/>
          <w:b/>
        </w:rPr>
        <w:t>Finance Department</w:t>
      </w:r>
    </w:p>
    <w:p w:rsidR="001841DC" w:rsidRPr="00654454" w:rsidRDefault="001841DC" w:rsidP="001841DC">
      <w:pPr>
        <w:autoSpaceDE w:val="0"/>
        <w:autoSpaceDN w:val="0"/>
        <w:adjustRightInd w:val="0"/>
        <w:spacing w:after="0" w:line="240" w:lineRule="auto"/>
        <w:ind w:left="502"/>
        <w:jc w:val="both"/>
        <w:rPr>
          <w:rFonts w:ascii="Arial" w:hAnsi="Arial" w:cs="Arial"/>
        </w:rPr>
      </w:pPr>
    </w:p>
    <w:p w:rsidR="001841DC" w:rsidRDefault="001841DC" w:rsidP="00773BC9">
      <w:pPr>
        <w:autoSpaceDE w:val="0"/>
        <w:autoSpaceDN w:val="0"/>
        <w:adjustRightInd w:val="0"/>
        <w:spacing w:after="0" w:line="240" w:lineRule="auto"/>
        <w:ind w:left="720" w:hanging="720"/>
        <w:jc w:val="both"/>
        <w:rPr>
          <w:rFonts w:ascii="Arial" w:hAnsi="Arial" w:cs="Arial"/>
          <w:b/>
          <w:color w:val="000000"/>
        </w:rPr>
      </w:pPr>
      <w:r>
        <w:rPr>
          <w:rFonts w:ascii="Arial" w:hAnsi="Arial" w:cs="Arial"/>
        </w:rPr>
        <w:t>2.8</w:t>
      </w:r>
      <w:r>
        <w:rPr>
          <w:rFonts w:ascii="Arial" w:hAnsi="Arial" w:cs="Arial"/>
        </w:rPr>
        <w:tab/>
      </w:r>
      <w:r w:rsidR="003047E5">
        <w:rPr>
          <w:rFonts w:ascii="Arial" w:hAnsi="Arial" w:cs="Arial"/>
        </w:rPr>
        <w:t>T</w:t>
      </w:r>
      <w:r w:rsidR="003047E5" w:rsidRPr="00837771">
        <w:rPr>
          <w:rFonts w:ascii="Arial" w:hAnsi="Arial" w:cs="Arial"/>
          <w:color w:val="000000"/>
        </w:rPr>
        <w:t xml:space="preserve">he Finance Department have responsibility for all financial information.  </w:t>
      </w:r>
      <w:r w:rsidRPr="00654454">
        <w:rPr>
          <w:rFonts w:ascii="Arial" w:hAnsi="Arial" w:cs="Arial"/>
        </w:rPr>
        <w:t xml:space="preserve">The </w:t>
      </w:r>
      <w:r w:rsidR="003047E5">
        <w:rPr>
          <w:rFonts w:ascii="Arial" w:hAnsi="Arial" w:cs="Arial"/>
        </w:rPr>
        <w:t>F</w:t>
      </w:r>
      <w:r w:rsidRPr="00654454">
        <w:rPr>
          <w:rFonts w:ascii="Arial" w:hAnsi="Arial" w:cs="Arial"/>
        </w:rPr>
        <w:t xml:space="preserve">inance </w:t>
      </w:r>
      <w:r w:rsidR="003047E5">
        <w:rPr>
          <w:rFonts w:ascii="Arial" w:hAnsi="Arial" w:cs="Arial"/>
        </w:rPr>
        <w:t>D</w:t>
      </w:r>
      <w:r w:rsidRPr="00654454">
        <w:rPr>
          <w:rFonts w:ascii="Arial" w:hAnsi="Arial" w:cs="Arial"/>
        </w:rPr>
        <w:t>epartment prepares the data submitted i</w:t>
      </w:r>
      <w:r>
        <w:rPr>
          <w:rFonts w:ascii="Arial" w:hAnsi="Arial" w:cs="Arial"/>
        </w:rPr>
        <w:t xml:space="preserve">n our Annual Performance Report </w:t>
      </w:r>
      <w:r w:rsidRPr="00654454">
        <w:rPr>
          <w:rFonts w:ascii="Arial" w:hAnsi="Arial" w:cs="Arial"/>
        </w:rPr>
        <w:t>working closely with both the Regulation department and individuals in the wider business.  The Finance department is also responsible for preparing the accounting separation methodology statement, which is reviewed and approved by the Finance &amp; Regulation Director</w:t>
      </w:r>
    </w:p>
    <w:p w:rsidR="001841DC" w:rsidRDefault="001841DC" w:rsidP="001841DC">
      <w:pPr>
        <w:autoSpaceDE w:val="0"/>
        <w:autoSpaceDN w:val="0"/>
        <w:adjustRightInd w:val="0"/>
        <w:spacing w:after="0" w:line="240" w:lineRule="auto"/>
        <w:ind w:left="502"/>
        <w:jc w:val="both"/>
        <w:rPr>
          <w:rFonts w:ascii="Arial" w:hAnsi="Arial" w:cs="Arial"/>
          <w:b/>
          <w:color w:val="000000"/>
        </w:rPr>
      </w:pPr>
    </w:p>
    <w:p w:rsidR="001841DC" w:rsidRPr="00654454" w:rsidRDefault="001841DC" w:rsidP="001841DC">
      <w:pPr>
        <w:autoSpaceDE w:val="0"/>
        <w:autoSpaceDN w:val="0"/>
        <w:adjustRightInd w:val="0"/>
        <w:spacing w:after="0" w:line="240" w:lineRule="auto"/>
        <w:jc w:val="both"/>
        <w:rPr>
          <w:rFonts w:ascii="Arial" w:hAnsi="Arial" w:cs="Arial"/>
          <w:b/>
          <w:color w:val="000000"/>
        </w:rPr>
      </w:pPr>
      <w:r w:rsidRPr="00654454">
        <w:rPr>
          <w:rFonts w:ascii="Arial" w:hAnsi="Arial" w:cs="Arial"/>
          <w:b/>
          <w:color w:val="000000"/>
        </w:rPr>
        <w:t>Regulation Department</w:t>
      </w:r>
    </w:p>
    <w:p w:rsidR="001841DC" w:rsidRPr="00654454" w:rsidRDefault="001841DC" w:rsidP="001841DC">
      <w:pPr>
        <w:autoSpaceDE w:val="0"/>
        <w:autoSpaceDN w:val="0"/>
        <w:adjustRightInd w:val="0"/>
        <w:spacing w:after="0" w:line="240" w:lineRule="auto"/>
        <w:ind w:left="502"/>
        <w:jc w:val="both"/>
        <w:rPr>
          <w:rFonts w:ascii="Arial" w:hAnsi="Arial" w:cs="Arial"/>
          <w:b/>
          <w:color w:val="000000"/>
        </w:rPr>
      </w:pPr>
    </w:p>
    <w:p w:rsidR="001841DC" w:rsidRPr="00837771" w:rsidRDefault="001841DC" w:rsidP="00773BC9">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2.9</w:t>
      </w:r>
      <w:r>
        <w:rPr>
          <w:rFonts w:ascii="Arial" w:hAnsi="Arial" w:cs="Arial"/>
          <w:color w:val="000000"/>
        </w:rPr>
        <w:tab/>
      </w:r>
      <w:r w:rsidRPr="00837771">
        <w:rPr>
          <w:rFonts w:ascii="Arial" w:hAnsi="Arial" w:cs="Arial"/>
          <w:color w:val="000000"/>
        </w:rPr>
        <w:t xml:space="preserve">The Regulation </w:t>
      </w:r>
      <w:r w:rsidR="00CE1FE0">
        <w:rPr>
          <w:rFonts w:ascii="Arial" w:hAnsi="Arial" w:cs="Arial"/>
          <w:color w:val="000000"/>
        </w:rPr>
        <w:t>D</w:t>
      </w:r>
      <w:r w:rsidRPr="00837771">
        <w:rPr>
          <w:rFonts w:ascii="Arial" w:hAnsi="Arial" w:cs="Arial"/>
          <w:color w:val="000000"/>
        </w:rPr>
        <w:t>epartment coordinates the technical data submitted in our Annual Performance Report which contains our key performance indicators.</w:t>
      </w:r>
      <w:r w:rsidR="00CE1FE0">
        <w:rPr>
          <w:rFonts w:ascii="Arial" w:hAnsi="Arial" w:cs="Arial"/>
          <w:color w:val="000000"/>
        </w:rPr>
        <w:t xml:space="preserve">  </w:t>
      </w:r>
      <w:r w:rsidRPr="00837771">
        <w:rPr>
          <w:rFonts w:ascii="Arial" w:hAnsi="Arial" w:cs="Arial"/>
          <w:color w:val="000000"/>
        </w:rPr>
        <w:t xml:space="preserve">The Regulation </w:t>
      </w:r>
      <w:r w:rsidR="00CE1FE0">
        <w:rPr>
          <w:rFonts w:ascii="Arial" w:hAnsi="Arial" w:cs="Arial"/>
          <w:color w:val="000000"/>
        </w:rPr>
        <w:t>D</w:t>
      </w:r>
      <w:r w:rsidRPr="00837771">
        <w:rPr>
          <w:rFonts w:ascii="Arial" w:hAnsi="Arial" w:cs="Arial"/>
          <w:color w:val="000000"/>
        </w:rPr>
        <w:t>epartment coordinate the collection of data from all areas of the company which have a key data provider. These data providers are experts in the data from their department and for the majority of the Performance Measures have experience in preparation an annual submission of data. In order to provide robust information into our data reports, we have developed Methodology Statements for most measures which outline the processes and procedures for collecting data and reporting our Performance Measures.</w:t>
      </w:r>
    </w:p>
    <w:p w:rsidR="001841DC" w:rsidRPr="00654454" w:rsidRDefault="001841DC" w:rsidP="001841DC">
      <w:pPr>
        <w:autoSpaceDE w:val="0"/>
        <w:autoSpaceDN w:val="0"/>
        <w:adjustRightInd w:val="0"/>
        <w:spacing w:after="0" w:line="240" w:lineRule="auto"/>
        <w:jc w:val="both"/>
        <w:rPr>
          <w:rFonts w:ascii="Arial" w:hAnsi="Arial" w:cs="Arial"/>
          <w:color w:val="000000"/>
        </w:rPr>
      </w:pPr>
    </w:p>
    <w:p w:rsidR="001841DC" w:rsidRPr="00654454" w:rsidRDefault="001841DC" w:rsidP="001841DC">
      <w:pPr>
        <w:autoSpaceDE w:val="0"/>
        <w:autoSpaceDN w:val="0"/>
        <w:adjustRightInd w:val="0"/>
        <w:spacing w:after="0" w:line="240" w:lineRule="auto"/>
        <w:jc w:val="both"/>
        <w:rPr>
          <w:rFonts w:ascii="Arial" w:hAnsi="Arial" w:cs="Arial"/>
          <w:b/>
          <w:color w:val="000000"/>
        </w:rPr>
      </w:pPr>
      <w:r w:rsidRPr="00654454">
        <w:rPr>
          <w:rFonts w:ascii="Arial" w:hAnsi="Arial" w:cs="Arial"/>
          <w:b/>
          <w:color w:val="000000"/>
        </w:rPr>
        <w:t>Data Originator and Management sign off</w:t>
      </w:r>
    </w:p>
    <w:p w:rsidR="001841DC" w:rsidRPr="00654454" w:rsidRDefault="001841DC" w:rsidP="001841DC">
      <w:pPr>
        <w:autoSpaceDE w:val="0"/>
        <w:autoSpaceDN w:val="0"/>
        <w:adjustRightInd w:val="0"/>
        <w:spacing w:after="0" w:line="240" w:lineRule="auto"/>
        <w:ind w:left="720"/>
        <w:jc w:val="both"/>
        <w:rPr>
          <w:rFonts w:ascii="Arial" w:hAnsi="Arial" w:cs="Arial"/>
          <w:color w:val="000000"/>
        </w:rPr>
      </w:pPr>
    </w:p>
    <w:p w:rsidR="001841DC" w:rsidRPr="00837771" w:rsidRDefault="001841DC" w:rsidP="00773BC9">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2.10</w:t>
      </w:r>
      <w:r>
        <w:rPr>
          <w:rFonts w:ascii="Arial" w:hAnsi="Arial" w:cs="Arial"/>
          <w:color w:val="000000"/>
        </w:rPr>
        <w:tab/>
      </w:r>
      <w:r w:rsidRPr="00837771">
        <w:rPr>
          <w:rFonts w:ascii="Arial" w:hAnsi="Arial" w:cs="Arial"/>
          <w:color w:val="000000"/>
        </w:rPr>
        <w:t>Data from each department is signed off by the data owner and the senior manager from the department. The Regulation department review the data, compare the data to previous years, ensure compliance with definitions and guidance and enquire on the methodology followed and any assumptions made.</w:t>
      </w:r>
    </w:p>
    <w:p w:rsidR="001841DC" w:rsidRPr="00654454" w:rsidRDefault="001841DC" w:rsidP="001841DC">
      <w:pPr>
        <w:autoSpaceDE w:val="0"/>
        <w:autoSpaceDN w:val="0"/>
        <w:adjustRightInd w:val="0"/>
        <w:spacing w:after="0" w:line="240" w:lineRule="auto"/>
        <w:jc w:val="both"/>
        <w:rPr>
          <w:rFonts w:ascii="Arial" w:hAnsi="Arial" w:cs="Arial"/>
          <w:color w:val="000000"/>
        </w:rPr>
      </w:pPr>
    </w:p>
    <w:p w:rsidR="007367C8" w:rsidRDefault="007367C8">
      <w:pPr>
        <w:rPr>
          <w:rFonts w:ascii="Arial" w:hAnsi="Arial" w:cs="Arial"/>
          <w:b/>
          <w:color w:val="000000"/>
        </w:rPr>
      </w:pPr>
      <w:r>
        <w:rPr>
          <w:rFonts w:ascii="Arial" w:hAnsi="Arial" w:cs="Arial"/>
          <w:b/>
          <w:color w:val="000000"/>
        </w:rPr>
        <w:br w:type="page"/>
      </w:r>
    </w:p>
    <w:p w:rsidR="001841DC" w:rsidRDefault="001841DC" w:rsidP="001841DC">
      <w:pPr>
        <w:autoSpaceDE w:val="0"/>
        <w:autoSpaceDN w:val="0"/>
        <w:adjustRightInd w:val="0"/>
        <w:spacing w:after="0" w:line="240" w:lineRule="auto"/>
        <w:jc w:val="both"/>
        <w:rPr>
          <w:rFonts w:ascii="Arial" w:hAnsi="Arial" w:cs="Arial"/>
          <w:b/>
          <w:color w:val="000000"/>
        </w:rPr>
      </w:pPr>
      <w:r w:rsidRPr="00654454">
        <w:rPr>
          <w:rFonts w:ascii="Arial" w:hAnsi="Arial" w:cs="Arial"/>
          <w:b/>
          <w:color w:val="000000"/>
        </w:rPr>
        <w:t>Other relevant information</w:t>
      </w:r>
    </w:p>
    <w:p w:rsidR="001841DC" w:rsidRPr="00654454" w:rsidRDefault="001841DC" w:rsidP="001841DC">
      <w:pPr>
        <w:autoSpaceDE w:val="0"/>
        <w:autoSpaceDN w:val="0"/>
        <w:adjustRightInd w:val="0"/>
        <w:spacing w:after="0" w:line="240" w:lineRule="auto"/>
        <w:ind w:left="502"/>
        <w:jc w:val="both"/>
        <w:rPr>
          <w:rFonts w:ascii="Arial" w:hAnsi="Arial" w:cs="Arial"/>
          <w:b/>
          <w:color w:val="000000"/>
        </w:rPr>
      </w:pPr>
    </w:p>
    <w:p w:rsidR="001841DC" w:rsidRPr="00773BC9" w:rsidRDefault="00773BC9" w:rsidP="00773BC9">
      <w:pPr>
        <w:autoSpaceDE w:val="0"/>
        <w:autoSpaceDN w:val="0"/>
        <w:adjustRightInd w:val="0"/>
        <w:spacing w:after="0" w:line="240" w:lineRule="auto"/>
        <w:ind w:left="720" w:hanging="720"/>
        <w:jc w:val="both"/>
        <w:rPr>
          <w:rFonts w:ascii="Arial" w:hAnsi="Arial" w:cs="Arial"/>
        </w:rPr>
      </w:pPr>
      <w:r>
        <w:rPr>
          <w:rFonts w:ascii="Arial" w:hAnsi="Arial" w:cs="Arial"/>
        </w:rPr>
        <w:t>2.11</w:t>
      </w:r>
      <w:r>
        <w:rPr>
          <w:rFonts w:ascii="Arial" w:hAnsi="Arial" w:cs="Arial"/>
        </w:rPr>
        <w:tab/>
      </w:r>
      <w:r w:rsidR="001841DC" w:rsidRPr="00773BC9">
        <w:rPr>
          <w:rFonts w:ascii="Arial" w:hAnsi="Arial" w:cs="Arial"/>
        </w:rPr>
        <w:t xml:space="preserve">A table setting out each Performance Measure and the sources of assurance is shown in Appendix 2. </w:t>
      </w:r>
    </w:p>
    <w:p w:rsidR="00773BC9" w:rsidRDefault="00773BC9" w:rsidP="00773BC9">
      <w:pPr>
        <w:autoSpaceDE w:val="0"/>
        <w:autoSpaceDN w:val="0"/>
        <w:adjustRightInd w:val="0"/>
        <w:spacing w:after="0" w:line="240" w:lineRule="auto"/>
        <w:jc w:val="both"/>
        <w:rPr>
          <w:rFonts w:ascii="Arial" w:hAnsi="Arial" w:cs="Arial"/>
        </w:rPr>
      </w:pPr>
    </w:p>
    <w:p w:rsidR="001841DC" w:rsidRPr="00773BC9" w:rsidRDefault="00773BC9" w:rsidP="00773BC9">
      <w:pPr>
        <w:autoSpaceDE w:val="0"/>
        <w:autoSpaceDN w:val="0"/>
        <w:adjustRightInd w:val="0"/>
        <w:spacing w:after="0" w:line="240" w:lineRule="auto"/>
        <w:ind w:left="720" w:hanging="720"/>
        <w:jc w:val="both"/>
        <w:rPr>
          <w:rFonts w:ascii="Arial" w:hAnsi="Arial" w:cs="Arial"/>
        </w:rPr>
      </w:pPr>
      <w:r>
        <w:rPr>
          <w:rFonts w:ascii="Arial" w:hAnsi="Arial" w:cs="Arial"/>
        </w:rPr>
        <w:t>2.12</w:t>
      </w:r>
      <w:r>
        <w:rPr>
          <w:rFonts w:ascii="Arial" w:hAnsi="Arial" w:cs="Arial"/>
        </w:rPr>
        <w:tab/>
      </w:r>
      <w:r w:rsidR="001841DC" w:rsidRPr="00773BC9">
        <w:rPr>
          <w:rFonts w:ascii="Arial" w:hAnsi="Arial" w:cs="Arial"/>
        </w:rPr>
        <w:t>The final detail of the targeted enhanced assurance activities for each relevant Performance Measure will be finalised and documented when we publish our Final Assurance Plan. However, we have included in Appendix 3 some indicative actions which may apply to, and form part of, the Reporter’s Targeted Audit Plan for “High” risk Performance Measures.</w:t>
      </w:r>
    </w:p>
    <w:p w:rsidR="001841DC" w:rsidRDefault="001841DC" w:rsidP="001841DC">
      <w:pPr>
        <w:autoSpaceDE w:val="0"/>
        <w:autoSpaceDN w:val="0"/>
        <w:adjustRightInd w:val="0"/>
        <w:spacing w:after="0" w:line="240" w:lineRule="auto"/>
        <w:jc w:val="both"/>
        <w:rPr>
          <w:rFonts w:ascii="Arial" w:hAnsi="Arial" w:cs="Arial"/>
          <w:color w:val="000000"/>
        </w:rPr>
      </w:pPr>
    </w:p>
    <w:p w:rsidR="001841DC" w:rsidRPr="00A82351" w:rsidRDefault="001841DC" w:rsidP="007367C8">
      <w:pPr>
        <w:rPr>
          <w:rFonts w:ascii="Arial" w:hAnsi="Arial" w:cs="Arial"/>
          <w:b/>
          <w:color w:val="000000"/>
        </w:rPr>
      </w:pPr>
      <w:r w:rsidRPr="00A82351">
        <w:rPr>
          <w:rFonts w:ascii="Arial" w:hAnsi="Arial" w:cs="Arial"/>
          <w:b/>
          <w:color w:val="000000"/>
        </w:rPr>
        <w:t xml:space="preserve">Technical Assurance </w:t>
      </w:r>
    </w:p>
    <w:p w:rsidR="001841DC" w:rsidRPr="00034B53" w:rsidRDefault="00773BC9" w:rsidP="00773BC9">
      <w:pPr>
        <w:pStyle w:val="ListParagraph"/>
        <w:autoSpaceDE w:val="0"/>
        <w:autoSpaceDN w:val="0"/>
        <w:adjustRightInd w:val="0"/>
        <w:spacing w:after="0" w:line="240" w:lineRule="auto"/>
        <w:ind w:hanging="720"/>
        <w:jc w:val="both"/>
        <w:rPr>
          <w:rFonts w:ascii="Arial" w:hAnsi="Arial" w:cs="Arial"/>
          <w:color w:val="000000"/>
        </w:rPr>
      </w:pPr>
      <w:r>
        <w:rPr>
          <w:rFonts w:ascii="Arial" w:hAnsi="Arial" w:cs="Arial"/>
          <w:color w:val="000000"/>
        </w:rPr>
        <w:t>2.12</w:t>
      </w:r>
      <w:r>
        <w:rPr>
          <w:rFonts w:ascii="Arial" w:hAnsi="Arial" w:cs="Arial"/>
          <w:color w:val="000000"/>
        </w:rPr>
        <w:tab/>
      </w:r>
      <w:r w:rsidR="001841DC" w:rsidRPr="00034B53">
        <w:rPr>
          <w:rFonts w:ascii="Arial" w:hAnsi="Arial" w:cs="Arial"/>
          <w:color w:val="000000"/>
        </w:rPr>
        <w:t>Our technical auditor, Atkins, is a professional engineer and certifier of regulated activities.  Atkins has a good understanding of the water industry and has conducted audits of data for Portsmouth Water since 2013. The Reporter carries out a formal audit of the key performance indicators that will be included in the Annual Performance Report.</w:t>
      </w:r>
    </w:p>
    <w:p w:rsidR="001841DC" w:rsidRPr="00654454" w:rsidRDefault="001841DC" w:rsidP="001841DC">
      <w:pPr>
        <w:autoSpaceDE w:val="0"/>
        <w:autoSpaceDN w:val="0"/>
        <w:adjustRightInd w:val="0"/>
        <w:spacing w:after="0" w:line="240" w:lineRule="auto"/>
        <w:ind w:left="502"/>
        <w:jc w:val="both"/>
        <w:rPr>
          <w:rFonts w:ascii="Arial" w:hAnsi="Arial" w:cs="Arial"/>
          <w:color w:val="000000"/>
        </w:rPr>
      </w:pPr>
    </w:p>
    <w:p w:rsidR="001841DC" w:rsidRPr="00654454" w:rsidRDefault="00773BC9" w:rsidP="00773BC9">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2.13</w:t>
      </w:r>
      <w:r w:rsidR="001841DC">
        <w:rPr>
          <w:rFonts w:ascii="Arial" w:hAnsi="Arial" w:cs="Arial"/>
          <w:color w:val="000000"/>
        </w:rPr>
        <w:tab/>
      </w:r>
      <w:r w:rsidR="001841DC" w:rsidRPr="00654454">
        <w:rPr>
          <w:rFonts w:ascii="Arial" w:hAnsi="Arial" w:cs="Arial"/>
          <w:color w:val="000000"/>
        </w:rPr>
        <w:t xml:space="preserve">The Regulation department coordinate the Reporter’s audit timetable and ensure key data experts from each department meet with the Reporter. The Reporter examines the source of data, checks calculations and assesses the accuracy and compliance to the data requirements of the reported data. The Reporter then produces a report on each audit carried out. This includes key findings from the audit and a list of any issues found. </w:t>
      </w:r>
    </w:p>
    <w:p w:rsidR="001841DC" w:rsidRPr="00654454" w:rsidRDefault="001841DC" w:rsidP="001841DC">
      <w:pPr>
        <w:autoSpaceDE w:val="0"/>
        <w:autoSpaceDN w:val="0"/>
        <w:adjustRightInd w:val="0"/>
        <w:spacing w:after="0" w:line="240" w:lineRule="auto"/>
        <w:ind w:left="720"/>
        <w:jc w:val="both"/>
        <w:rPr>
          <w:rFonts w:ascii="Arial" w:hAnsi="Arial" w:cs="Arial"/>
          <w:color w:val="000000"/>
        </w:rPr>
      </w:pPr>
    </w:p>
    <w:p w:rsidR="001841DC" w:rsidRPr="00654454" w:rsidRDefault="00773BC9" w:rsidP="00773BC9">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2.14</w:t>
      </w:r>
      <w:r w:rsidR="001841DC">
        <w:rPr>
          <w:rFonts w:ascii="Arial" w:hAnsi="Arial" w:cs="Arial"/>
          <w:color w:val="000000"/>
        </w:rPr>
        <w:tab/>
      </w:r>
      <w:r w:rsidR="001841DC" w:rsidRPr="00654454">
        <w:rPr>
          <w:rFonts w:ascii="Arial" w:hAnsi="Arial" w:cs="Arial"/>
          <w:color w:val="000000"/>
        </w:rPr>
        <w:t>The Lead Auditor attends the Audit Committee before we publish our Annual Performance Report and answers questions raised on the audits and data contained within the Annual Performance Report. He provides assurance on the data contained in the report.</w:t>
      </w:r>
    </w:p>
    <w:p w:rsidR="001841DC" w:rsidRPr="00654454" w:rsidRDefault="001841DC" w:rsidP="001841DC">
      <w:pPr>
        <w:jc w:val="both"/>
        <w:rPr>
          <w:rFonts w:ascii="Arial" w:hAnsi="Arial" w:cs="Arial"/>
        </w:rPr>
      </w:pPr>
    </w:p>
    <w:p w:rsidR="001841DC" w:rsidRDefault="001841DC" w:rsidP="001841DC">
      <w:pPr>
        <w:jc w:val="both"/>
        <w:rPr>
          <w:rFonts w:ascii="Arial" w:hAnsi="Arial" w:cs="Arial"/>
          <w:b/>
        </w:rPr>
      </w:pPr>
      <w:r>
        <w:rPr>
          <w:rFonts w:ascii="Arial" w:hAnsi="Arial" w:cs="Arial"/>
          <w:b/>
        </w:rPr>
        <w:t>Financial assurance</w:t>
      </w:r>
    </w:p>
    <w:p w:rsidR="001841DC" w:rsidRPr="00034B53" w:rsidRDefault="001841DC" w:rsidP="00773BC9">
      <w:pPr>
        <w:ind w:left="720" w:hanging="720"/>
        <w:jc w:val="both"/>
        <w:rPr>
          <w:rFonts w:ascii="Arial" w:hAnsi="Arial" w:cs="Arial"/>
          <w:b/>
        </w:rPr>
      </w:pPr>
      <w:r>
        <w:rPr>
          <w:rFonts w:ascii="Arial" w:hAnsi="Arial" w:cs="Arial"/>
        </w:rPr>
        <w:t>2.</w:t>
      </w:r>
      <w:r w:rsidR="00773BC9">
        <w:rPr>
          <w:rFonts w:ascii="Arial" w:hAnsi="Arial" w:cs="Arial"/>
        </w:rPr>
        <w:t>15</w:t>
      </w:r>
      <w:r>
        <w:rPr>
          <w:rFonts w:ascii="Arial" w:hAnsi="Arial" w:cs="Arial"/>
        </w:rPr>
        <w:tab/>
      </w:r>
      <w:r w:rsidRPr="00654454">
        <w:rPr>
          <w:rFonts w:ascii="Arial" w:hAnsi="Arial" w:cs="Arial"/>
        </w:rPr>
        <w:t>Financial assurance over the APR is performed by our financial auditors KPMG. Our financial auditors, are a firm of registered auditors with a good understanding of regulated activities for the Water Industry.  The assurance activities that they undertake largely leverage the statutory audit process.  The assurance provided is in the form of two types of assurance processes;</w:t>
      </w:r>
    </w:p>
    <w:p w:rsidR="001841DC" w:rsidRPr="00654454" w:rsidRDefault="001841DC" w:rsidP="001841DC">
      <w:pPr>
        <w:autoSpaceDE w:val="0"/>
        <w:autoSpaceDN w:val="0"/>
        <w:adjustRightInd w:val="0"/>
        <w:spacing w:after="0" w:line="240" w:lineRule="auto"/>
        <w:ind w:left="142"/>
        <w:jc w:val="both"/>
        <w:rPr>
          <w:rFonts w:ascii="Arial" w:hAnsi="Arial" w:cs="Arial"/>
        </w:rPr>
      </w:pPr>
    </w:p>
    <w:p w:rsidR="001841DC" w:rsidRDefault="001841DC" w:rsidP="00944ED0">
      <w:pPr>
        <w:pStyle w:val="ListParagraph"/>
        <w:numPr>
          <w:ilvl w:val="0"/>
          <w:numId w:val="14"/>
        </w:numPr>
        <w:spacing w:line="256" w:lineRule="auto"/>
        <w:jc w:val="both"/>
        <w:rPr>
          <w:rFonts w:ascii="Arial" w:hAnsi="Arial" w:cs="Arial"/>
        </w:rPr>
      </w:pPr>
      <w:r w:rsidRPr="00654454">
        <w:rPr>
          <w:rFonts w:ascii="Arial" w:hAnsi="Arial" w:cs="Arial"/>
          <w:b/>
        </w:rPr>
        <w:t>An independent audit report</w:t>
      </w:r>
      <w:r w:rsidRPr="00654454">
        <w:rPr>
          <w:rFonts w:ascii="Arial" w:hAnsi="Arial" w:cs="Arial"/>
        </w:rPr>
        <w:t>.  This is a publicly available report in a standard format agreed between Ofwat and our external auditors KPMG.  The areas covered are set out in the table below</w:t>
      </w:r>
      <w:r>
        <w:rPr>
          <w:rFonts w:ascii="Arial" w:hAnsi="Arial" w:cs="Arial"/>
        </w:rPr>
        <w:t>, see 4.2</w:t>
      </w:r>
      <w:r w:rsidRPr="00654454">
        <w:rPr>
          <w:rFonts w:ascii="Arial" w:hAnsi="Arial" w:cs="Arial"/>
        </w:rPr>
        <w:t xml:space="preserve">.  </w:t>
      </w:r>
    </w:p>
    <w:p w:rsidR="001841DC" w:rsidRDefault="001841DC" w:rsidP="001841DC">
      <w:pPr>
        <w:pStyle w:val="ListParagraph"/>
        <w:spacing w:line="256" w:lineRule="auto"/>
        <w:jc w:val="both"/>
        <w:rPr>
          <w:rFonts w:ascii="Arial" w:hAnsi="Arial" w:cs="Arial"/>
        </w:rPr>
      </w:pPr>
    </w:p>
    <w:p w:rsidR="001841DC" w:rsidRDefault="001841DC" w:rsidP="001841DC">
      <w:pPr>
        <w:pStyle w:val="ListParagraph"/>
        <w:spacing w:line="256" w:lineRule="auto"/>
        <w:jc w:val="both"/>
        <w:rPr>
          <w:rFonts w:ascii="Arial" w:hAnsi="Arial" w:cs="Arial"/>
        </w:rPr>
      </w:pPr>
      <w:r w:rsidRPr="00654454">
        <w:rPr>
          <w:rFonts w:ascii="Arial" w:hAnsi="Arial" w:cs="Arial"/>
        </w:rPr>
        <w:t>On an annual basis the financial auditors undertake audit planning and report on the audit approach to the Audit committee based upon UK auditing standards together with the requirements of the Regulatory Accounting Guidelines issued by Ofwat (this is a subset of the annual planning process for Statutory Accounts).  They also report by exception on going concern and upon the related licence condition F.</w:t>
      </w:r>
    </w:p>
    <w:p w:rsidR="001841DC" w:rsidRPr="00654454" w:rsidRDefault="001841DC" w:rsidP="001841DC">
      <w:pPr>
        <w:pStyle w:val="ListParagraph"/>
        <w:spacing w:line="256" w:lineRule="auto"/>
        <w:jc w:val="both"/>
        <w:rPr>
          <w:rFonts w:ascii="Arial" w:hAnsi="Arial" w:cs="Arial"/>
        </w:rPr>
      </w:pPr>
    </w:p>
    <w:p w:rsidR="001841DC" w:rsidRDefault="001841DC" w:rsidP="00944ED0">
      <w:pPr>
        <w:pStyle w:val="ListParagraph"/>
        <w:numPr>
          <w:ilvl w:val="0"/>
          <w:numId w:val="14"/>
        </w:numPr>
        <w:spacing w:line="256" w:lineRule="auto"/>
        <w:jc w:val="both"/>
        <w:rPr>
          <w:rFonts w:ascii="Arial" w:hAnsi="Arial" w:cs="Arial"/>
        </w:rPr>
      </w:pPr>
      <w:r w:rsidRPr="00654454">
        <w:rPr>
          <w:rFonts w:ascii="Arial" w:hAnsi="Arial" w:cs="Arial"/>
          <w:b/>
        </w:rPr>
        <w:t>Agreed upon procedures over other specified financial information</w:t>
      </w:r>
      <w:r w:rsidRPr="00654454">
        <w:rPr>
          <w:rFonts w:ascii="Arial" w:hAnsi="Arial" w:cs="Arial"/>
        </w:rPr>
        <w:t xml:space="preserve">.  This is a report to the Company setting out the results of certain specified procedures covering other tables within the APR.  The financial auditors do not form a professional opinion on this work but report their findings leaving management and the Audit Committee to form their own opinion.  </w:t>
      </w:r>
    </w:p>
    <w:p w:rsidR="001841DC" w:rsidRDefault="001841DC" w:rsidP="001841DC">
      <w:pPr>
        <w:pStyle w:val="ListParagraph"/>
        <w:spacing w:line="256" w:lineRule="auto"/>
        <w:jc w:val="both"/>
        <w:rPr>
          <w:rFonts w:ascii="Arial" w:hAnsi="Arial" w:cs="Arial"/>
        </w:rPr>
      </w:pPr>
    </w:p>
    <w:p w:rsidR="001841DC" w:rsidRPr="007367C8" w:rsidRDefault="001841DC" w:rsidP="00773BC9">
      <w:pPr>
        <w:spacing w:line="256" w:lineRule="auto"/>
        <w:ind w:left="720"/>
        <w:jc w:val="both"/>
        <w:rPr>
          <w:rFonts w:ascii="Arial" w:hAnsi="Arial" w:cs="Arial"/>
        </w:rPr>
      </w:pPr>
      <w:r w:rsidRPr="007367C8">
        <w:rPr>
          <w:rFonts w:ascii="Arial" w:hAnsi="Arial" w:cs="Arial"/>
        </w:rPr>
        <w:t>To the extent that matters arise in respect of these procedures they would be considered and generally reflected in revisions to the relevant tables.  The plan for agreed upon procedures are reviewed by the Finance Director and Audit Committee annually and are revised, to reflect any changes in reporting requirements, new tables, Ofwat feedback from previous years and overall risk assessment.</w:t>
      </w:r>
    </w:p>
    <w:p w:rsidR="001841DC" w:rsidRPr="00654454" w:rsidRDefault="00773BC9" w:rsidP="00773BC9">
      <w:pPr>
        <w:autoSpaceDE w:val="0"/>
        <w:autoSpaceDN w:val="0"/>
        <w:adjustRightInd w:val="0"/>
        <w:spacing w:after="0" w:line="240" w:lineRule="auto"/>
        <w:ind w:left="720" w:hanging="720"/>
        <w:jc w:val="both"/>
        <w:rPr>
          <w:rFonts w:ascii="Arial" w:hAnsi="Arial" w:cs="Arial"/>
        </w:rPr>
      </w:pPr>
      <w:r>
        <w:rPr>
          <w:rFonts w:ascii="Arial" w:hAnsi="Arial" w:cs="Arial"/>
        </w:rPr>
        <w:t>2.16</w:t>
      </w:r>
      <w:r w:rsidR="001841DC">
        <w:rPr>
          <w:rFonts w:ascii="Arial" w:hAnsi="Arial" w:cs="Arial"/>
        </w:rPr>
        <w:tab/>
      </w:r>
      <w:r w:rsidR="001841DC" w:rsidRPr="00654454">
        <w:rPr>
          <w:rFonts w:ascii="Arial" w:hAnsi="Arial" w:cs="Arial"/>
        </w:rPr>
        <w:t xml:space="preserve">The </w:t>
      </w:r>
      <w:r w:rsidR="001841DC">
        <w:rPr>
          <w:rFonts w:ascii="Arial" w:hAnsi="Arial" w:cs="Arial"/>
        </w:rPr>
        <w:t>F</w:t>
      </w:r>
      <w:r w:rsidR="001841DC" w:rsidRPr="00654454">
        <w:rPr>
          <w:rFonts w:ascii="Arial" w:hAnsi="Arial" w:cs="Arial"/>
        </w:rPr>
        <w:t xml:space="preserve">inance </w:t>
      </w:r>
      <w:r w:rsidR="001841DC">
        <w:rPr>
          <w:rFonts w:ascii="Arial" w:hAnsi="Arial" w:cs="Arial"/>
        </w:rPr>
        <w:t>D</w:t>
      </w:r>
      <w:r w:rsidR="001841DC" w:rsidRPr="00654454">
        <w:rPr>
          <w:rFonts w:ascii="Arial" w:hAnsi="Arial" w:cs="Arial"/>
        </w:rPr>
        <w:t>epartment coordinate the financial audit timetable and ensure relevant staff members are available to support any audit enquiries. Key findings from the audit and a list of any issues found are discussed with the Finance Director and are reported to the Audit committee.  The audit partner attends the Audit Committee before we publish our Annual Performance Report and answers questions raised on the audits and data contained within</w:t>
      </w:r>
      <w:r w:rsidR="00CE1FE0">
        <w:rPr>
          <w:rFonts w:ascii="Arial" w:hAnsi="Arial" w:cs="Arial"/>
        </w:rPr>
        <w:t xml:space="preserve"> the Annual Performance Report.  This includes a “private” meeting without executive directors present.</w:t>
      </w:r>
    </w:p>
    <w:p w:rsidR="001841DC" w:rsidRPr="00654454" w:rsidRDefault="001841DC" w:rsidP="001841DC">
      <w:pPr>
        <w:autoSpaceDE w:val="0"/>
        <w:autoSpaceDN w:val="0"/>
        <w:adjustRightInd w:val="0"/>
        <w:spacing w:after="0" w:line="240" w:lineRule="auto"/>
        <w:ind w:left="720"/>
        <w:jc w:val="both"/>
        <w:rPr>
          <w:rFonts w:ascii="Arial" w:hAnsi="Arial" w:cs="Arial"/>
        </w:rPr>
      </w:pPr>
    </w:p>
    <w:p w:rsidR="001841DC" w:rsidRPr="00654454" w:rsidRDefault="001841DC" w:rsidP="001841DC">
      <w:pPr>
        <w:autoSpaceDE w:val="0"/>
        <w:autoSpaceDN w:val="0"/>
        <w:adjustRightInd w:val="0"/>
        <w:spacing w:after="0" w:line="240" w:lineRule="auto"/>
        <w:jc w:val="both"/>
        <w:rPr>
          <w:rFonts w:ascii="Arial" w:hAnsi="Arial" w:cs="Arial"/>
          <w:b/>
        </w:rPr>
      </w:pPr>
      <w:r w:rsidRPr="00654454">
        <w:rPr>
          <w:rFonts w:ascii="Arial" w:hAnsi="Arial" w:cs="Arial"/>
          <w:b/>
        </w:rPr>
        <w:t>Oversight of financial reporting</w:t>
      </w:r>
    </w:p>
    <w:p w:rsidR="001841DC" w:rsidRDefault="001841DC" w:rsidP="001841DC">
      <w:pPr>
        <w:autoSpaceDE w:val="0"/>
        <w:autoSpaceDN w:val="0"/>
        <w:adjustRightInd w:val="0"/>
        <w:spacing w:after="0" w:line="240" w:lineRule="auto"/>
        <w:ind w:left="142"/>
        <w:jc w:val="both"/>
        <w:rPr>
          <w:rFonts w:ascii="Arial" w:hAnsi="Arial" w:cs="Arial"/>
        </w:rPr>
      </w:pPr>
    </w:p>
    <w:p w:rsidR="001841DC" w:rsidRPr="00654454" w:rsidRDefault="00773BC9" w:rsidP="00773BC9">
      <w:pPr>
        <w:autoSpaceDE w:val="0"/>
        <w:autoSpaceDN w:val="0"/>
        <w:adjustRightInd w:val="0"/>
        <w:spacing w:after="0" w:line="240" w:lineRule="auto"/>
        <w:ind w:left="720" w:hanging="720"/>
        <w:jc w:val="both"/>
        <w:rPr>
          <w:rFonts w:ascii="Arial" w:hAnsi="Arial" w:cs="Arial"/>
        </w:rPr>
      </w:pPr>
      <w:r>
        <w:rPr>
          <w:rFonts w:ascii="Arial" w:hAnsi="Arial" w:cs="Arial"/>
        </w:rPr>
        <w:t>2.17</w:t>
      </w:r>
      <w:r w:rsidR="001841DC">
        <w:rPr>
          <w:rFonts w:ascii="Arial" w:hAnsi="Arial" w:cs="Arial"/>
        </w:rPr>
        <w:tab/>
      </w:r>
      <w:r w:rsidR="001841DC" w:rsidRPr="00654454">
        <w:rPr>
          <w:rFonts w:ascii="Arial" w:hAnsi="Arial" w:cs="Arial"/>
        </w:rPr>
        <w:t>To the extent that information leverages the underlying financial results this is subject to review at the Management Board and through Monthly Board reporting.</w:t>
      </w:r>
    </w:p>
    <w:p w:rsidR="001841DC" w:rsidRPr="00654454" w:rsidRDefault="001841DC" w:rsidP="001841DC">
      <w:pPr>
        <w:autoSpaceDE w:val="0"/>
        <w:autoSpaceDN w:val="0"/>
        <w:adjustRightInd w:val="0"/>
        <w:spacing w:after="0" w:line="240" w:lineRule="auto"/>
        <w:ind w:left="720"/>
        <w:jc w:val="both"/>
        <w:rPr>
          <w:rFonts w:ascii="Arial" w:hAnsi="Arial" w:cs="Arial"/>
        </w:rPr>
      </w:pPr>
    </w:p>
    <w:p w:rsidR="001841DC" w:rsidRPr="00654454" w:rsidRDefault="001841DC" w:rsidP="001841DC">
      <w:pPr>
        <w:jc w:val="both"/>
        <w:rPr>
          <w:rFonts w:ascii="Arial" w:hAnsi="Arial" w:cs="Arial"/>
          <w:b/>
        </w:rPr>
      </w:pPr>
      <w:r w:rsidRPr="00654454">
        <w:rPr>
          <w:rFonts w:ascii="Arial" w:hAnsi="Arial" w:cs="Arial"/>
          <w:b/>
        </w:rPr>
        <w:t>Systems and controls</w:t>
      </w:r>
    </w:p>
    <w:p w:rsidR="001841DC" w:rsidRPr="00654454" w:rsidRDefault="001841DC" w:rsidP="00773BC9">
      <w:pPr>
        <w:ind w:left="720" w:hanging="720"/>
        <w:jc w:val="both"/>
        <w:rPr>
          <w:rFonts w:ascii="Arial" w:hAnsi="Arial" w:cs="Arial"/>
        </w:rPr>
      </w:pPr>
      <w:r>
        <w:rPr>
          <w:rFonts w:ascii="Arial" w:hAnsi="Arial" w:cs="Arial"/>
        </w:rPr>
        <w:t>2.1</w:t>
      </w:r>
      <w:r w:rsidR="00773BC9">
        <w:rPr>
          <w:rFonts w:ascii="Arial" w:hAnsi="Arial" w:cs="Arial"/>
        </w:rPr>
        <w:t>8</w:t>
      </w:r>
      <w:r>
        <w:rPr>
          <w:rFonts w:ascii="Arial" w:hAnsi="Arial" w:cs="Arial"/>
        </w:rPr>
        <w:tab/>
      </w:r>
      <w:r w:rsidRPr="00654454">
        <w:rPr>
          <w:rFonts w:ascii="Arial" w:hAnsi="Arial" w:cs="Arial"/>
        </w:rPr>
        <w:t>A significant portion of the financial data reported in the APR is derived from our financial systems.  This includes accounting separation analysis.  These financial systems are subject to a wide range of systems and controls supporting the accuracy of underlying data.  These include but are not limited to;</w:t>
      </w:r>
    </w:p>
    <w:p w:rsidR="001841DC" w:rsidRPr="00654454" w:rsidRDefault="001841DC" w:rsidP="00773BC9">
      <w:pPr>
        <w:pStyle w:val="ListParagraph"/>
        <w:numPr>
          <w:ilvl w:val="0"/>
          <w:numId w:val="15"/>
        </w:numPr>
        <w:spacing w:line="256" w:lineRule="auto"/>
        <w:ind w:left="1080"/>
        <w:jc w:val="both"/>
        <w:rPr>
          <w:rFonts w:ascii="Arial" w:hAnsi="Arial" w:cs="Arial"/>
        </w:rPr>
      </w:pPr>
      <w:r w:rsidRPr="00654454">
        <w:rPr>
          <w:rFonts w:ascii="Arial" w:hAnsi="Arial" w:cs="Arial"/>
        </w:rPr>
        <w:t>Monthly management reporting to management Board and main Board</w:t>
      </w:r>
    </w:p>
    <w:p w:rsidR="001841DC" w:rsidRPr="00654454" w:rsidRDefault="001841DC" w:rsidP="00773BC9">
      <w:pPr>
        <w:pStyle w:val="ListParagraph"/>
        <w:numPr>
          <w:ilvl w:val="0"/>
          <w:numId w:val="15"/>
        </w:numPr>
        <w:spacing w:line="256" w:lineRule="auto"/>
        <w:ind w:left="1080"/>
        <w:jc w:val="both"/>
        <w:rPr>
          <w:rFonts w:ascii="Arial" w:hAnsi="Arial" w:cs="Arial"/>
        </w:rPr>
      </w:pPr>
      <w:r w:rsidRPr="00654454">
        <w:rPr>
          <w:rFonts w:ascii="Arial" w:hAnsi="Arial" w:cs="Arial"/>
        </w:rPr>
        <w:t>Budget setting and review process</w:t>
      </w:r>
    </w:p>
    <w:p w:rsidR="001841DC" w:rsidRPr="00654454" w:rsidRDefault="001841DC" w:rsidP="00773BC9">
      <w:pPr>
        <w:pStyle w:val="ListParagraph"/>
        <w:numPr>
          <w:ilvl w:val="0"/>
          <w:numId w:val="15"/>
        </w:numPr>
        <w:spacing w:line="256" w:lineRule="auto"/>
        <w:ind w:left="1080"/>
        <w:jc w:val="both"/>
        <w:rPr>
          <w:rFonts w:ascii="Arial" w:hAnsi="Arial" w:cs="Arial"/>
        </w:rPr>
      </w:pPr>
      <w:r w:rsidRPr="00654454">
        <w:rPr>
          <w:rFonts w:ascii="Arial" w:hAnsi="Arial" w:cs="Arial"/>
        </w:rPr>
        <w:t>Transactional controls including embedded authorisations and approvals</w:t>
      </w:r>
    </w:p>
    <w:p w:rsidR="001841DC" w:rsidRPr="00654454" w:rsidRDefault="001841DC" w:rsidP="00773BC9">
      <w:pPr>
        <w:pStyle w:val="ListParagraph"/>
        <w:numPr>
          <w:ilvl w:val="0"/>
          <w:numId w:val="15"/>
        </w:numPr>
        <w:spacing w:line="256" w:lineRule="auto"/>
        <w:ind w:left="1080"/>
        <w:jc w:val="both"/>
        <w:rPr>
          <w:rFonts w:ascii="Arial" w:hAnsi="Arial" w:cs="Arial"/>
        </w:rPr>
      </w:pPr>
      <w:r w:rsidRPr="00654454">
        <w:rPr>
          <w:rFonts w:ascii="Arial" w:hAnsi="Arial" w:cs="Arial"/>
        </w:rPr>
        <w:t xml:space="preserve">Controls </w:t>
      </w:r>
      <w:r>
        <w:rPr>
          <w:rFonts w:ascii="Arial" w:hAnsi="Arial" w:cs="Arial"/>
        </w:rPr>
        <w:t>i</w:t>
      </w:r>
      <w:r w:rsidRPr="00654454">
        <w:rPr>
          <w:rFonts w:ascii="Arial" w:hAnsi="Arial" w:cs="Arial"/>
        </w:rPr>
        <w:t>n relation to accuracy of coding and allocation of costs to cost centres</w:t>
      </w:r>
    </w:p>
    <w:p w:rsidR="001841DC" w:rsidRPr="00654454" w:rsidRDefault="001841DC" w:rsidP="00773BC9">
      <w:pPr>
        <w:pStyle w:val="ListParagraph"/>
        <w:numPr>
          <w:ilvl w:val="0"/>
          <w:numId w:val="15"/>
        </w:numPr>
        <w:spacing w:line="256" w:lineRule="auto"/>
        <w:ind w:left="1080"/>
        <w:jc w:val="both"/>
        <w:rPr>
          <w:rFonts w:ascii="Arial" w:hAnsi="Arial" w:cs="Arial"/>
        </w:rPr>
      </w:pPr>
      <w:r w:rsidRPr="00654454">
        <w:rPr>
          <w:rFonts w:ascii="Arial" w:hAnsi="Arial" w:cs="Arial"/>
        </w:rPr>
        <w:t>Reconciliations and control account processes</w:t>
      </w:r>
    </w:p>
    <w:p w:rsidR="001841DC" w:rsidRPr="00654454" w:rsidRDefault="001841DC" w:rsidP="00773BC9">
      <w:pPr>
        <w:pStyle w:val="ListParagraph"/>
        <w:numPr>
          <w:ilvl w:val="0"/>
          <w:numId w:val="15"/>
        </w:numPr>
        <w:spacing w:line="256" w:lineRule="auto"/>
        <w:ind w:left="1080"/>
        <w:jc w:val="both"/>
        <w:rPr>
          <w:rFonts w:ascii="Arial" w:hAnsi="Arial" w:cs="Arial"/>
        </w:rPr>
      </w:pPr>
      <w:r w:rsidRPr="00654454">
        <w:rPr>
          <w:rFonts w:ascii="Arial" w:hAnsi="Arial" w:cs="Arial"/>
        </w:rPr>
        <w:t>Analytical review processes</w:t>
      </w:r>
    </w:p>
    <w:p w:rsidR="0047595D" w:rsidRPr="00A760CF" w:rsidRDefault="0047595D" w:rsidP="001927BA">
      <w:pPr>
        <w:pStyle w:val="ListParagraph"/>
        <w:autoSpaceDE w:val="0"/>
        <w:autoSpaceDN w:val="0"/>
        <w:adjustRightInd w:val="0"/>
        <w:spacing w:after="0" w:line="240" w:lineRule="auto"/>
        <w:ind w:left="142"/>
        <w:jc w:val="both"/>
        <w:rPr>
          <w:rFonts w:ascii="Arial" w:hAnsi="Arial" w:cs="Arial"/>
          <w:b/>
          <w:bCs/>
          <w:color w:val="000000"/>
        </w:rPr>
      </w:pPr>
    </w:p>
    <w:p w:rsidR="00F454FF" w:rsidRDefault="00F454FF">
      <w:pPr>
        <w:rPr>
          <w:rFonts w:ascii="Arial" w:eastAsiaTheme="majorEastAsia" w:hAnsi="Arial" w:cs="Arial"/>
          <w:b/>
          <w:sz w:val="24"/>
          <w:szCs w:val="24"/>
        </w:rPr>
      </w:pPr>
      <w:bookmarkStart w:id="3" w:name="_Toc1632180"/>
      <w:bookmarkStart w:id="4" w:name="_Toc1655523"/>
      <w:r>
        <w:rPr>
          <w:rFonts w:ascii="Arial" w:hAnsi="Arial" w:cs="Arial"/>
          <w:b/>
          <w:sz w:val="24"/>
          <w:szCs w:val="24"/>
        </w:rPr>
        <w:br w:type="page"/>
      </w:r>
    </w:p>
    <w:p w:rsidR="00F454FF" w:rsidRPr="00557777" w:rsidRDefault="007367C8" w:rsidP="00557777">
      <w:pPr>
        <w:rPr>
          <w:rFonts w:ascii="Arial" w:hAnsi="Arial" w:cs="Arial"/>
          <w:b/>
          <w:sz w:val="24"/>
          <w:szCs w:val="24"/>
        </w:rPr>
      </w:pPr>
      <w:r w:rsidRPr="00557777">
        <w:rPr>
          <w:rFonts w:ascii="Arial" w:hAnsi="Arial" w:cs="Arial"/>
          <w:b/>
          <w:sz w:val="24"/>
          <w:szCs w:val="24"/>
        </w:rPr>
        <w:t xml:space="preserve">3. </w:t>
      </w:r>
      <w:r w:rsidRPr="00557777">
        <w:rPr>
          <w:rFonts w:ascii="Arial" w:hAnsi="Arial" w:cs="Arial"/>
          <w:b/>
          <w:sz w:val="24"/>
          <w:szCs w:val="24"/>
        </w:rPr>
        <w:tab/>
      </w:r>
      <w:r w:rsidR="00F454FF" w:rsidRPr="00557777">
        <w:rPr>
          <w:rFonts w:ascii="Arial" w:hAnsi="Arial" w:cs="Arial"/>
          <w:b/>
          <w:sz w:val="24"/>
          <w:szCs w:val="24"/>
        </w:rPr>
        <w:t>Assurance Activities</w:t>
      </w:r>
      <w:bookmarkEnd w:id="3"/>
      <w:bookmarkEnd w:id="4"/>
    </w:p>
    <w:p w:rsidR="00F454FF" w:rsidRPr="00AF462E" w:rsidRDefault="00F454FF" w:rsidP="00F87D54">
      <w:pPr>
        <w:autoSpaceDE w:val="0"/>
        <w:autoSpaceDN w:val="0"/>
        <w:adjustRightInd w:val="0"/>
        <w:spacing w:after="0" w:line="240" w:lineRule="auto"/>
        <w:rPr>
          <w:rFonts w:ascii="Arial" w:hAnsi="Arial" w:cs="Arial"/>
          <w:vanish/>
        </w:rPr>
      </w:pPr>
    </w:p>
    <w:p w:rsidR="00F454FF" w:rsidRPr="00773BC9" w:rsidRDefault="00773BC9" w:rsidP="00773BC9">
      <w:pPr>
        <w:autoSpaceDE w:val="0"/>
        <w:autoSpaceDN w:val="0"/>
        <w:adjustRightInd w:val="0"/>
        <w:spacing w:after="0" w:line="240" w:lineRule="auto"/>
        <w:ind w:left="720" w:hanging="720"/>
        <w:jc w:val="both"/>
        <w:rPr>
          <w:rFonts w:ascii="Arial" w:hAnsi="Arial" w:cs="Arial"/>
        </w:rPr>
      </w:pPr>
      <w:r>
        <w:rPr>
          <w:rFonts w:ascii="Arial" w:hAnsi="Arial" w:cs="Arial"/>
        </w:rPr>
        <w:t>3.1</w:t>
      </w:r>
      <w:r>
        <w:rPr>
          <w:rFonts w:ascii="Arial" w:hAnsi="Arial" w:cs="Arial"/>
        </w:rPr>
        <w:tab/>
      </w:r>
      <w:r w:rsidR="00F454FF" w:rsidRPr="00773BC9">
        <w:rPr>
          <w:rFonts w:ascii="Arial" w:hAnsi="Arial" w:cs="Arial"/>
        </w:rPr>
        <w:t xml:space="preserve">In January 2019, Ofwat published its assessment of the 2018 Company Monitoring Framework. The performance is assessed across thirteen areas covering both financial and </w:t>
      </w:r>
      <w:r w:rsidR="00CE1FE0">
        <w:rPr>
          <w:rFonts w:ascii="Arial" w:hAnsi="Arial" w:cs="Arial"/>
        </w:rPr>
        <w:t>n</w:t>
      </w:r>
      <w:r w:rsidR="00F454FF" w:rsidRPr="00773BC9">
        <w:rPr>
          <w:rFonts w:ascii="Arial" w:hAnsi="Arial" w:cs="Arial"/>
        </w:rPr>
        <w:t>on-financial assurance activities.  Whilst it focused on publications relating to the year 2017/18 it also covered the draft Water Resources Management plan, published in March 2018 and Ofwat</w:t>
      </w:r>
      <w:r w:rsidR="00D85619">
        <w:rPr>
          <w:rFonts w:ascii="Arial" w:hAnsi="Arial" w:cs="Arial"/>
        </w:rPr>
        <w:t>’</w:t>
      </w:r>
      <w:r w:rsidR="00F454FF" w:rsidRPr="00773BC9">
        <w:rPr>
          <w:rFonts w:ascii="Arial" w:hAnsi="Arial" w:cs="Arial"/>
        </w:rPr>
        <w:t xml:space="preserve">s initial assessment of our Business </w:t>
      </w:r>
      <w:r w:rsidR="00CE1FE0">
        <w:rPr>
          <w:rFonts w:ascii="Arial" w:hAnsi="Arial" w:cs="Arial"/>
        </w:rPr>
        <w:t>P</w:t>
      </w:r>
      <w:r w:rsidR="00F454FF" w:rsidRPr="00773BC9">
        <w:rPr>
          <w:rFonts w:ascii="Arial" w:hAnsi="Arial" w:cs="Arial"/>
        </w:rPr>
        <w:t>lan (September 2018).</w:t>
      </w:r>
    </w:p>
    <w:p w:rsidR="00F454FF" w:rsidRPr="00957CAB" w:rsidRDefault="00F454FF" w:rsidP="00F454FF">
      <w:pPr>
        <w:autoSpaceDE w:val="0"/>
        <w:autoSpaceDN w:val="0"/>
        <w:adjustRightInd w:val="0"/>
        <w:spacing w:after="0" w:line="240" w:lineRule="auto"/>
        <w:jc w:val="both"/>
        <w:rPr>
          <w:rFonts w:ascii="Arial" w:hAnsi="Arial" w:cs="Arial"/>
        </w:rPr>
      </w:pPr>
    </w:p>
    <w:p w:rsidR="00F454FF" w:rsidRDefault="00773BC9" w:rsidP="00773BC9">
      <w:pPr>
        <w:pStyle w:val="ListParagraph"/>
        <w:autoSpaceDE w:val="0"/>
        <w:autoSpaceDN w:val="0"/>
        <w:adjustRightInd w:val="0"/>
        <w:spacing w:after="0" w:line="240" w:lineRule="auto"/>
        <w:ind w:hanging="720"/>
        <w:jc w:val="both"/>
        <w:rPr>
          <w:rFonts w:ascii="Arial" w:hAnsi="Arial" w:cs="Arial"/>
          <w:sz w:val="24"/>
          <w:szCs w:val="24"/>
        </w:rPr>
      </w:pPr>
      <w:r>
        <w:rPr>
          <w:rFonts w:ascii="Arial" w:hAnsi="Arial" w:cs="Arial"/>
        </w:rPr>
        <w:t>3.2</w:t>
      </w:r>
      <w:r>
        <w:rPr>
          <w:rFonts w:ascii="Arial" w:hAnsi="Arial" w:cs="Arial"/>
        </w:rPr>
        <w:tab/>
      </w:r>
      <w:r w:rsidR="00F454FF">
        <w:rPr>
          <w:rFonts w:ascii="Arial" w:hAnsi="Arial" w:cs="Arial"/>
        </w:rPr>
        <w:t>In the table below we outline assurance activities undertaken specific to each of the measures reviewed by Ofwat;</w:t>
      </w:r>
      <w:r w:rsidR="00F454FF" w:rsidRPr="00957CAB">
        <w:rPr>
          <w:rFonts w:ascii="Arial" w:hAnsi="Arial" w:cs="Arial"/>
          <w:sz w:val="24"/>
          <w:szCs w:val="24"/>
        </w:rPr>
        <w:t xml:space="preserve"> </w:t>
      </w:r>
      <w:r w:rsidR="00F454FF">
        <w:rPr>
          <w:rFonts w:ascii="Arial" w:hAnsi="Arial" w:cs="Arial"/>
          <w:sz w:val="24"/>
          <w:szCs w:val="24"/>
        </w:rPr>
        <w:t>further discussion on the assessment is given in section 3.4 in particular.</w:t>
      </w:r>
    </w:p>
    <w:p w:rsidR="00F454FF" w:rsidRPr="00957CAB" w:rsidRDefault="00F454FF" w:rsidP="00F454FF">
      <w:pPr>
        <w:pStyle w:val="ListParagraph"/>
        <w:autoSpaceDE w:val="0"/>
        <w:autoSpaceDN w:val="0"/>
        <w:adjustRightInd w:val="0"/>
        <w:spacing w:after="0" w:line="240" w:lineRule="auto"/>
        <w:ind w:left="502"/>
        <w:rPr>
          <w:rFonts w:ascii="Arial" w:hAnsi="Arial" w:cs="Arial"/>
          <w:sz w:val="24"/>
          <w:szCs w:val="24"/>
        </w:rPr>
      </w:pPr>
    </w:p>
    <w:tbl>
      <w:tblPr>
        <w:tblStyle w:val="TableGrid"/>
        <w:tblW w:w="5000" w:type="pct"/>
        <w:shd w:val="clear" w:color="auto" w:fill="FFFFFF" w:themeFill="background1"/>
        <w:tblLayout w:type="fixed"/>
        <w:tblLook w:val="04A0" w:firstRow="1" w:lastRow="0" w:firstColumn="1" w:lastColumn="0" w:noHBand="0" w:noVBand="1"/>
      </w:tblPr>
      <w:tblGrid>
        <w:gridCol w:w="565"/>
        <w:gridCol w:w="2407"/>
        <w:gridCol w:w="2553"/>
        <w:gridCol w:w="1700"/>
        <w:gridCol w:w="1791"/>
      </w:tblGrid>
      <w:tr w:rsidR="00F454FF" w:rsidTr="00773BC9">
        <w:trPr>
          <w:trHeight w:val="403"/>
        </w:trPr>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jc w:val="both"/>
              <w:rPr>
                <w:rFonts w:ascii="Arial" w:hAnsi="Arial" w:cs="Arial"/>
                <w:sz w:val="20"/>
                <w:szCs w:val="20"/>
              </w:rPr>
            </w:pPr>
          </w:p>
        </w:tc>
        <w:tc>
          <w:tcPr>
            <w:tcW w:w="1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54FF" w:rsidRPr="00603D19" w:rsidRDefault="00F454FF" w:rsidP="00F454FF">
            <w:pPr>
              <w:jc w:val="center"/>
              <w:rPr>
                <w:rFonts w:ascii="Arial" w:hAnsi="Arial" w:cs="Arial"/>
                <w:b/>
                <w:sz w:val="20"/>
                <w:szCs w:val="20"/>
              </w:rPr>
            </w:pPr>
            <w:r w:rsidRPr="00603D19">
              <w:rPr>
                <w:rFonts w:ascii="Arial" w:hAnsi="Arial" w:cs="Arial"/>
                <w:b/>
                <w:sz w:val="20"/>
                <w:szCs w:val="20"/>
              </w:rPr>
              <w:t>Area</w:t>
            </w:r>
          </w:p>
          <w:p w:rsidR="00F454FF" w:rsidRPr="00603D19" w:rsidRDefault="00F454FF" w:rsidP="00F454FF">
            <w:pPr>
              <w:jc w:val="center"/>
              <w:rPr>
                <w:rFonts w:ascii="Arial" w:hAnsi="Arial" w:cs="Arial"/>
                <w:b/>
                <w:sz w:val="20"/>
                <w:szCs w:val="20"/>
              </w:rPr>
            </w:pPr>
          </w:p>
        </w:tc>
        <w:tc>
          <w:tcPr>
            <w:tcW w:w="1416"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Default="00F454FF" w:rsidP="00F454FF">
            <w:pPr>
              <w:jc w:val="center"/>
              <w:rPr>
                <w:rFonts w:ascii="Arial" w:hAnsi="Arial" w:cs="Arial"/>
                <w:b/>
                <w:sz w:val="20"/>
                <w:szCs w:val="20"/>
              </w:rPr>
            </w:pPr>
            <w:r>
              <w:rPr>
                <w:rFonts w:ascii="Arial" w:hAnsi="Arial" w:cs="Arial"/>
                <w:b/>
                <w:sz w:val="20"/>
                <w:szCs w:val="20"/>
              </w:rPr>
              <w:t>Key submission</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54FF" w:rsidRPr="00603D19" w:rsidRDefault="00F454FF" w:rsidP="00F454FF">
            <w:pPr>
              <w:jc w:val="center"/>
              <w:rPr>
                <w:rFonts w:ascii="Arial" w:hAnsi="Arial" w:cs="Arial"/>
                <w:b/>
                <w:sz w:val="20"/>
                <w:szCs w:val="20"/>
              </w:rPr>
            </w:pPr>
            <w:r>
              <w:rPr>
                <w:rFonts w:ascii="Arial" w:hAnsi="Arial" w:cs="Arial"/>
                <w:b/>
                <w:sz w:val="20"/>
                <w:szCs w:val="20"/>
              </w:rPr>
              <w:t>Assurer(s)</w:t>
            </w:r>
          </w:p>
        </w:tc>
        <w:tc>
          <w:tcPr>
            <w:tcW w:w="99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603D19" w:rsidRDefault="00F454FF" w:rsidP="00F454FF">
            <w:pPr>
              <w:jc w:val="center"/>
              <w:rPr>
                <w:rFonts w:ascii="Arial" w:hAnsi="Arial" w:cs="Arial"/>
                <w:b/>
                <w:sz w:val="20"/>
                <w:szCs w:val="20"/>
              </w:rPr>
            </w:pPr>
            <w:r>
              <w:rPr>
                <w:rFonts w:ascii="Arial" w:hAnsi="Arial" w:cs="Arial"/>
                <w:b/>
                <w:sz w:val="20"/>
                <w:szCs w:val="20"/>
              </w:rPr>
              <w:t>Publication Date</w:t>
            </w:r>
          </w:p>
        </w:tc>
      </w:tr>
      <w:tr w:rsidR="00F454FF" w:rsidTr="00773BC9">
        <w:trPr>
          <w:trHeight w:val="403"/>
        </w:trPr>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autoSpaceDE w:val="0"/>
              <w:autoSpaceDN w:val="0"/>
              <w:adjustRightInd w:val="0"/>
              <w:spacing w:before="120" w:after="120"/>
              <w:rPr>
                <w:rFonts w:ascii="Arial" w:hAnsi="Arial" w:cs="Arial"/>
                <w:color w:val="000000"/>
                <w:sz w:val="20"/>
                <w:szCs w:val="20"/>
              </w:rPr>
            </w:pPr>
            <w:r w:rsidRPr="00EB7B9F">
              <w:rPr>
                <w:rFonts w:ascii="Arial" w:hAnsi="Arial" w:cs="Arial"/>
                <w:color w:val="000000"/>
                <w:sz w:val="20"/>
                <w:szCs w:val="20"/>
              </w:rPr>
              <w:t>1</w:t>
            </w:r>
          </w:p>
        </w:tc>
        <w:tc>
          <w:tcPr>
            <w:tcW w:w="1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54FF" w:rsidRPr="00EB7B9F" w:rsidRDefault="00F454FF" w:rsidP="00F454FF">
            <w:pPr>
              <w:autoSpaceDE w:val="0"/>
              <w:autoSpaceDN w:val="0"/>
              <w:adjustRightInd w:val="0"/>
              <w:spacing w:before="120" w:after="120"/>
              <w:rPr>
                <w:rFonts w:ascii="Arial" w:hAnsi="Arial" w:cs="Arial"/>
                <w:color w:val="000000"/>
                <w:sz w:val="20"/>
                <w:szCs w:val="20"/>
              </w:rPr>
            </w:pPr>
            <w:r w:rsidRPr="00EB7B9F">
              <w:rPr>
                <w:rFonts w:ascii="Arial" w:hAnsi="Arial" w:cs="Arial"/>
                <w:color w:val="000000"/>
                <w:sz w:val="20"/>
                <w:szCs w:val="20"/>
              </w:rPr>
              <w:t>Financial monitoring framework</w:t>
            </w:r>
          </w:p>
        </w:tc>
        <w:tc>
          <w:tcPr>
            <w:tcW w:w="1416"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Default="00F454FF" w:rsidP="00CE1FE0">
            <w:pPr>
              <w:spacing w:before="120" w:after="120"/>
              <w:jc w:val="center"/>
              <w:rPr>
                <w:rFonts w:ascii="Arial" w:hAnsi="Arial" w:cs="Arial"/>
                <w:sz w:val="20"/>
                <w:szCs w:val="20"/>
              </w:rPr>
            </w:pPr>
            <w:r>
              <w:rPr>
                <w:rFonts w:ascii="Arial" w:hAnsi="Arial" w:cs="Arial"/>
                <w:sz w:val="20"/>
                <w:szCs w:val="20"/>
              </w:rPr>
              <w:t>Annual Performance Re</w:t>
            </w:r>
            <w:r w:rsidR="00CE1FE0">
              <w:rPr>
                <w:rFonts w:ascii="Arial" w:hAnsi="Arial" w:cs="Arial"/>
                <w:sz w:val="20"/>
                <w:szCs w:val="20"/>
              </w:rPr>
              <w:t>port</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sz w:val="20"/>
                <w:szCs w:val="20"/>
              </w:rPr>
            </w:pPr>
            <w:r>
              <w:rPr>
                <w:rFonts w:ascii="Arial" w:hAnsi="Arial" w:cs="Arial"/>
                <w:sz w:val="20"/>
                <w:szCs w:val="20"/>
              </w:rPr>
              <w:t>KPMG</w:t>
            </w:r>
          </w:p>
        </w:tc>
        <w:tc>
          <w:tcPr>
            <w:tcW w:w="99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July 2018</w:t>
            </w:r>
          </w:p>
        </w:tc>
      </w:tr>
      <w:tr w:rsidR="00F454FF" w:rsidTr="00773BC9">
        <w:trPr>
          <w:trHeight w:val="415"/>
        </w:trPr>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both"/>
              <w:rPr>
                <w:rFonts w:ascii="Arial" w:hAnsi="Arial" w:cs="Arial"/>
                <w:color w:val="000000"/>
                <w:sz w:val="20"/>
                <w:szCs w:val="20"/>
              </w:rPr>
            </w:pPr>
            <w:r w:rsidRPr="00EB7B9F">
              <w:rPr>
                <w:rFonts w:ascii="Arial" w:hAnsi="Arial" w:cs="Arial"/>
                <w:color w:val="000000"/>
                <w:sz w:val="20"/>
                <w:szCs w:val="20"/>
              </w:rPr>
              <w:t>2</w:t>
            </w:r>
          </w:p>
        </w:tc>
        <w:tc>
          <w:tcPr>
            <w:tcW w:w="1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54FF" w:rsidRPr="00EB7B9F" w:rsidRDefault="00F454FF" w:rsidP="00F454FF">
            <w:pPr>
              <w:spacing w:before="120" w:after="120"/>
              <w:rPr>
                <w:rFonts w:ascii="Arial" w:hAnsi="Arial" w:cs="Arial"/>
                <w:sz w:val="20"/>
                <w:szCs w:val="20"/>
              </w:rPr>
            </w:pPr>
            <w:r w:rsidRPr="00EB7B9F">
              <w:rPr>
                <w:rFonts w:ascii="Arial" w:hAnsi="Arial" w:cs="Arial"/>
                <w:color w:val="000000"/>
                <w:sz w:val="20"/>
                <w:szCs w:val="20"/>
              </w:rPr>
              <w:t xml:space="preserve">Charges </w:t>
            </w:r>
            <w:r>
              <w:rPr>
                <w:rFonts w:ascii="Arial" w:hAnsi="Arial" w:cs="Arial"/>
                <w:color w:val="000000"/>
                <w:sz w:val="20"/>
                <w:szCs w:val="20"/>
              </w:rPr>
              <w:t xml:space="preserve">engagement </w:t>
            </w:r>
          </w:p>
        </w:tc>
        <w:tc>
          <w:tcPr>
            <w:tcW w:w="1416"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Default="00F454FF" w:rsidP="00F454FF">
            <w:pPr>
              <w:spacing w:before="120" w:after="120"/>
              <w:jc w:val="center"/>
              <w:rPr>
                <w:rFonts w:ascii="Arial" w:hAnsi="Arial" w:cs="Arial"/>
                <w:sz w:val="20"/>
                <w:szCs w:val="20"/>
              </w:rPr>
            </w:pPr>
            <w:r>
              <w:rPr>
                <w:rFonts w:ascii="Arial" w:hAnsi="Arial" w:cs="Arial"/>
                <w:sz w:val="20"/>
                <w:szCs w:val="20"/>
              </w:rPr>
              <w:t>Publication of Charges Schemes</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Default="00F454FF" w:rsidP="00F454FF">
            <w:pPr>
              <w:spacing w:before="120" w:after="120"/>
              <w:jc w:val="center"/>
              <w:rPr>
                <w:rFonts w:ascii="Arial" w:hAnsi="Arial" w:cs="Arial"/>
                <w:sz w:val="20"/>
                <w:szCs w:val="20"/>
              </w:rPr>
            </w:pPr>
            <w:r>
              <w:rPr>
                <w:rFonts w:ascii="Arial" w:hAnsi="Arial" w:cs="Arial"/>
                <w:sz w:val="20"/>
                <w:szCs w:val="20"/>
              </w:rPr>
              <w:t>Atkins,</w:t>
            </w:r>
          </w:p>
          <w:p w:rsidR="00F454FF" w:rsidRPr="00EB7B9F" w:rsidRDefault="00F454FF" w:rsidP="00F454FF">
            <w:pPr>
              <w:spacing w:before="120" w:after="120"/>
              <w:jc w:val="center"/>
              <w:rPr>
                <w:rFonts w:ascii="Arial" w:hAnsi="Arial" w:cs="Arial"/>
                <w:sz w:val="20"/>
                <w:szCs w:val="20"/>
              </w:rPr>
            </w:pPr>
            <w:r>
              <w:rPr>
                <w:rFonts w:ascii="Arial" w:hAnsi="Arial" w:cs="Arial"/>
                <w:sz w:val="20"/>
                <w:szCs w:val="20"/>
              </w:rPr>
              <w:t>Frontier</w:t>
            </w:r>
          </w:p>
        </w:tc>
        <w:tc>
          <w:tcPr>
            <w:tcW w:w="99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January 2018</w:t>
            </w:r>
          </w:p>
        </w:tc>
      </w:tr>
      <w:tr w:rsidR="00F454FF" w:rsidTr="00773BC9">
        <w:trPr>
          <w:trHeight w:val="403"/>
        </w:trPr>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autoSpaceDE w:val="0"/>
              <w:autoSpaceDN w:val="0"/>
              <w:adjustRightInd w:val="0"/>
              <w:spacing w:before="120" w:after="120"/>
              <w:rPr>
                <w:rFonts w:ascii="Arial" w:hAnsi="Arial" w:cs="Arial"/>
                <w:color w:val="000000"/>
                <w:sz w:val="20"/>
                <w:szCs w:val="20"/>
              </w:rPr>
            </w:pPr>
            <w:r>
              <w:rPr>
                <w:rFonts w:ascii="Arial" w:hAnsi="Arial" w:cs="Arial"/>
                <w:color w:val="000000"/>
                <w:sz w:val="20"/>
                <w:szCs w:val="20"/>
              </w:rPr>
              <w:t>3</w:t>
            </w:r>
          </w:p>
        </w:tc>
        <w:tc>
          <w:tcPr>
            <w:tcW w:w="1335"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autoSpaceDE w:val="0"/>
              <w:autoSpaceDN w:val="0"/>
              <w:adjustRightInd w:val="0"/>
              <w:spacing w:before="120" w:after="120"/>
              <w:rPr>
                <w:rFonts w:ascii="Arial" w:hAnsi="Arial" w:cs="Arial"/>
                <w:color w:val="000000"/>
                <w:sz w:val="20"/>
                <w:szCs w:val="20"/>
              </w:rPr>
            </w:pPr>
            <w:r>
              <w:rPr>
                <w:rFonts w:ascii="Arial" w:hAnsi="Arial" w:cs="Arial"/>
                <w:color w:val="000000"/>
                <w:sz w:val="20"/>
                <w:szCs w:val="20"/>
              </w:rPr>
              <w:t>Outcomes</w:t>
            </w:r>
          </w:p>
        </w:tc>
        <w:tc>
          <w:tcPr>
            <w:tcW w:w="1416"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CE1FE0">
            <w:pPr>
              <w:spacing w:before="120" w:after="120"/>
              <w:jc w:val="center"/>
              <w:rPr>
                <w:rFonts w:ascii="Arial" w:hAnsi="Arial" w:cs="Arial"/>
                <w:color w:val="000000"/>
                <w:sz w:val="20"/>
                <w:szCs w:val="20"/>
              </w:rPr>
            </w:pPr>
            <w:r>
              <w:rPr>
                <w:rFonts w:ascii="Arial" w:hAnsi="Arial" w:cs="Arial"/>
                <w:color w:val="000000"/>
                <w:sz w:val="20"/>
                <w:szCs w:val="20"/>
              </w:rPr>
              <w:t>Annual Performance Re</w:t>
            </w:r>
            <w:r w:rsidR="00CE1FE0">
              <w:rPr>
                <w:rFonts w:ascii="Arial" w:hAnsi="Arial" w:cs="Arial"/>
                <w:color w:val="000000"/>
                <w:sz w:val="20"/>
                <w:szCs w:val="20"/>
              </w:rPr>
              <w:t>port</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Atkins</w:t>
            </w:r>
          </w:p>
        </w:tc>
        <w:tc>
          <w:tcPr>
            <w:tcW w:w="99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July 2018</w:t>
            </w:r>
          </w:p>
        </w:tc>
      </w:tr>
      <w:tr w:rsidR="00F454FF" w:rsidTr="00773BC9">
        <w:trPr>
          <w:trHeight w:val="403"/>
        </w:trPr>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both"/>
              <w:rPr>
                <w:rFonts w:ascii="Arial" w:hAnsi="Arial" w:cs="Arial"/>
                <w:color w:val="000000"/>
                <w:sz w:val="20"/>
                <w:szCs w:val="20"/>
              </w:rPr>
            </w:pPr>
            <w:r>
              <w:rPr>
                <w:rFonts w:ascii="Arial" w:hAnsi="Arial" w:cs="Arial"/>
                <w:color w:val="000000"/>
                <w:sz w:val="20"/>
                <w:szCs w:val="20"/>
              </w:rPr>
              <w:t>4</w:t>
            </w:r>
          </w:p>
        </w:tc>
        <w:tc>
          <w:tcPr>
            <w:tcW w:w="1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54FF" w:rsidRPr="00EB7B9F" w:rsidRDefault="00F454FF" w:rsidP="00F454FF">
            <w:pPr>
              <w:spacing w:before="120" w:after="120"/>
              <w:rPr>
                <w:rFonts w:ascii="Arial" w:hAnsi="Arial" w:cs="Arial"/>
                <w:sz w:val="20"/>
                <w:szCs w:val="20"/>
              </w:rPr>
            </w:pPr>
            <w:r w:rsidRPr="00917708">
              <w:rPr>
                <w:rFonts w:ascii="Arial" w:hAnsi="Arial" w:cs="Arial"/>
                <w:color w:val="000000"/>
                <w:sz w:val="20"/>
                <w:szCs w:val="20"/>
              </w:rPr>
              <w:t>Water resources management plan and market information</w:t>
            </w:r>
          </w:p>
        </w:tc>
        <w:tc>
          <w:tcPr>
            <w:tcW w:w="1416"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sz w:val="20"/>
                <w:szCs w:val="20"/>
              </w:rPr>
            </w:pPr>
            <w:r>
              <w:rPr>
                <w:rFonts w:ascii="Arial" w:hAnsi="Arial" w:cs="Arial"/>
                <w:sz w:val="20"/>
                <w:szCs w:val="20"/>
              </w:rPr>
              <w:t>Draft Water Resources Management Plan</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sz w:val="20"/>
                <w:szCs w:val="20"/>
              </w:rPr>
            </w:pPr>
            <w:r>
              <w:rPr>
                <w:rFonts w:ascii="Arial" w:hAnsi="Arial" w:cs="Arial"/>
                <w:sz w:val="20"/>
                <w:szCs w:val="20"/>
              </w:rPr>
              <w:t>Atkins</w:t>
            </w:r>
          </w:p>
        </w:tc>
        <w:tc>
          <w:tcPr>
            <w:tcW w:w="99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March 2018</w:t>
            </w:r>
          </w:p>
        </w:tc>
      </w:tr>
      <w:tr w:rsidR="00F454FF" w:rsidTr="00773BC9">
        <w:trPr>
          <w:trHeight w:val="403"/>
        </w:trPr>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both"/>
              <w:rPr>
                <w:rFonts w:ascii="Arial" w:hAnsi="Arial" w:cs="Arial"/>
                <w:color w:val="000000"/>
                <w:sz w:val="20"/>
                <w:szCs w:val="20"/>
              </w:rPr>
            </w:pPr>
            <w:r>
              <w:rPr>
                <w:rFonts w:ascii="Arial" w:hAnsi="Arial" w:cs="Arial"/>
                <w:color w:val="000000"/>
                <w:sz w:val="20"/>
                <w:szCs w:val="20"/>
              </w:rPr>
              <w:t>5</w:t>
            </w:r>
          </w:p>
        </w:tc>
        <w:tc>
          <w:tcPr>
            <w:tcW w:w="1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54FF" w:rsidRPr="00EB7B9F" w:rsidRDefault="00F454FF" w:rsidP="00F454FF">
            <w:pPr>
              <w:spacing w:before="120" w:after="120"/>
              <w:rPr>
                <w:rFonts w:ascii="Arial" w:hAnsi="Arial" w:cs="Arial"/>
                <w:sz w:val="20"/>
                <w:szCs w:val="20"/>
              </w:rPr>
            </w:pPr>
            <w:r w:rsidRPr="00917708">
              <w:rPr>
                <w:rFonts w:ascii="Arial" w:hAnsi="Arial" w:cs="Arial"/>
                <w:color w:val="000000"/>
                <w:sz w:val="20"/>
                <w:szCs w:val="20"/>
              </w:rPr>
              <w:t>Long-term Viability Statement</w:t>
            </w:r>
          </w:p>
        </w:tc>
        <w:tc>
          <w:tcPr>
            <w:tcW w:w="1416"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CE1FE0">
            <w:pPr>
              <w:spacing w:before="120" w:after="120"/>
              <w:jc w:val="center"/>
              <w:rPr>
                <w:rFonts w:ascii="Arial" w:hAnsi="Arial" w:cs="Arial"/>
                <w:sz w:val="20"/>
                <w:szCs w:val="20"/>
              </w:rPr>
            </w:pPr>
            <w:r>
              <w:rPr>
                <w:rFonts w:ascii="Arial" w:hAnsi="Arial" w:cs="Arial"/>
                <w:color w:val="000000"/>
                <w:sz w:val="20"/>
                <w:szCs w:val="20"/>
              </w:rPr>
              <w:t>Annual Performance Re</w:t>
            </w:r>
            <w:r w:rsidR="00CE1FE0">
              <w:rPr>
                <w:rFonts w:ascii="Arial" w:hAnsi="Arial" w:cs="Arial"/>
                <w:color w:val="000000"/>
                <w:sz w:val="20"/>
                <w:szCs w:val="20"/>
              </w:rPr>
              <w:t>port</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sz w:val="20"/>
                <w:szCs w:val="20"/>
              </w:rPr>
            </w:pPr>
            <w:r>
              <w:rPr>
                <w:rFonts w:ascii="Arial" w:hAnsi="Arial" w:cs="Arial"/>
                <w:sz w:val="20"/>
                <w:szCs w:val="20"/>
              </w:rPr>
              <w:t>KPMG</w:t>
            </w:r>
          </w:p>
        </w:tc>
        <w:tc>
          <w:tcPr>
            <w:tcW w:w="99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July 2018</w:t>
            </w:r>
          </w:p>
        </w:tc>
      </w:tr>
      <w:tr w:rsidR="00F454FF" w:rsidTr="00773BC9">
        <w:trPr>
          <w:trHeight w:val="415"/>
        </w:trPr>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autoSpaceDE w:val="0"/>
              <w:autoSpaceDN w:val="0"/>
              <w:adjustRightInd w:val="0"/>
              <w:spacing w:before="120" w:after="120"/>
              <w:rPr>
                <w:rFonts w:ascii="Arial" w:hAnsi="Arial" w:cs="Arial"/>
                <w:color w:val="000000"/>
                <w:sz w:val="20"/>
                <w:szCs w:val="20"/>
              </w:rPr>
            </w:pPr>
            <w:r>
              <w:rPr>
                <w:rFonts w:ascii="Arial" w:hAnsi="Arial" w:cs="Arial"/>
                <w:color w:val="000000"/>
                <w:sz w:val="20"/>
                <w:szCs w:val="20"/>
              </w:rPr>
              <w:t>6</w:t>
            </w:r>
          </w:p>
        </w:tc>
        <w:tc>
          <w:tcPr>
            <w:tcW w:w="1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54FF" w:rsidRPr="00EB7B9F" w:rsidRDefault="00F454FF" w:rsidP="00F454FF">
            <w:pPr>
              <w:autoSpaceDE w:val="0"/>
              <w:autoSpaceDN w:val="0"/>
              <w:adjustRightInd w:val="0"/>
              <w:spacing w:before="120" w:after="120"/>
              <w:rPr>
                <w:rFonts w:ascii="Arial" w:hAnsi="Arial" w:cs="Arial"/>
                <w:color w:val="000000"/>
                <w:sz w:val="20"/>
                <w:szCs w:val="20"/>
              </w:rPr>
            </w:pPr>
            <w:r w:rsidRPr="00917708">
              <w:rPr>
                <w:rFonts w:ascii="Arial" w:hAnsi="Arial" w:cs="Arial"/>
                <w:color w:val="000000"/>
                <w:sz w:val="20"/>
                <w:szCs w:val="20"/>
              </w:rPr>
              <w:t>Financial Flows</w:t>
            </w:r>
          </w:p>
        </w:tc>
        <w:tc>
          <w:tcPr>
            <w:tcW w:w="1416"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CE1FE0">
            <w:pPr>
              <w:spacing w:before="120" w:after="120"/>
              <w:jc w:val="center"/>
              <w:rPr>
                <w:rFonts w:ascii="Arial" w:hAnsi="Arial" w:cs="Arial"/>
                <w:sz w:val="20"/>
                <w:szCs w:val="20"/>
              </w:rPr>
            </w:pPr>
            <w:r>
              <w:rPr>
                <w:rFonts w:ascii="Arial" w:hAnsi="Arial" w:cs="Arial"/>
                <w:color w:val="000000"/>
                <w:sz w:val="20"/>
                <w:szCs w:val="20"/>
              </w:rPr>
              <w:t>Annual Performance Re</w:t>
            </w:r>
            <w:r w:rsidR="00CE1FE0">
              <w:rPr>
                <w:rFonts w:ascii="Arial" w:hAnsi="Arial" w:cs="Arial"/>
                <w:color w:val="000000"/>
                <w:sz w:val="20"/>
                <w:szCs w:val="20"/>
              </w:rPr>
              <w:t>port</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sz w:val="20"/>
                <w:szCs w:val="20"/>
              </w:rPr>
            </w:pPr>
            <w:r>
              <w:rPr>
                <w:rFonts w:ascii="Arial" w:hAnsi="Arial" w:cs="Arial"/>
                <w:sz w:val="20"/>
                <w:szCs w:val="20"/>
              </w:rPr>
              <w:t>KPMG</w:t>
            </w:r>
          </w:p>
        </w:tc>
        <w:tc>
          <w:tcPr>
            <w:tcW w:w="99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July 2018</w:t>
            </w:r>
          </w:p>
        </w:tc>
      </w:tr>
      <w:tr w:rsidR="00F454FF" w:rsidTr="00773BC9">
        <w:trPr>
          <w:trHeight w:val="403"/>
        </w:trPr>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both"/>
              <w:rPr>
                <w:rFonts w:ascii="Arial" w:hAnsi="Arial" w:cs="Arial"/>
                <w:color w:val="000000"/>
                <w:sz w:val="20"/>
                <w:szCs w:val="20"/>
              </w:rPr>
            </w:pPr>
            <w:r>
              <w:rPr>
                <w:rFonts w:ascii="Arial" w:hAnsi="Arial" w:cs="Arial"/>
                <w:color w:val="000000"/>
                <w:sz w:val="20"/>
                <w:szCs w:val="20"/>
              </w:rPr>
              <w:t>7</w:t>
            </w:r>
          </w:p>
        </w:tc>
        <w:tc>
          <w:tcPr>
            <w:tcW w:w="1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54FF" w:rsidRPr="00EB7B9F" w:rsidRDefault="00F454FF" w:rsidP="00F454FF">
            <w:pPr>
              <w:spacing w:before="120" w:after="120"/>
              <w:rPr>
                <w:rFonts w:ascii="Arial" w:hAnsi="Arial" w:cs="Arial"/>
                <w:sz w:val="20"/>
                <w:szCs w:val="20"/>
              </w:rPr>
            </w:pPr>
            <w:r w:rsidRPr="00917708">
              <w:rPr>
                <w:rFonts w:ascii="Arial" w:hAnsi="Arial" w:cs="Arial"/>
                <w:sz w:val="20"/>
                <w:szCs w:val="20"/>
              </w:rPr>
              <w:t>Risk &amp; compliance statement</w:t>
            </w:r>
          </w:p>
        </w:tc>
        <w:tc>
          <w:tcPr>
            <w:tcW w:w="1416"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CE1FE0">
            <w:pPr>
              <w:spacing w:before="120" w:after="120"/>
              <w:jc w:val="center"/>
              <w:rPr>
                <w:rFonts w:ascii="Arial" w:hAnsi="Arial" w:cs="Arial"/>
                <w:sz w:val="20"/>
                <w:szCs w:val="20"/>
              </w:rPr>
            </w:pPr>
            <w:r>
              <w:rPr>
                <w:rFonts w:ascii="Arial" w:hAnsi="Arial" w:cs="Arial"/>
                <w:color w:val="000000"/>
                <w:sz w:val="20"/>
                <w:szCs w:val="20"/>
              </w:rPr>
              <w:t>Annual Performance Re</w:t>
            </w:r>
            <w:r w:rsidR="00CE1FE0">
              <w:rPr>
                <w:rFonts w:ascii="Arial" w:hAnsi="Arial" w:cs="Arial"/>
                <w:color w:val="000000"/>
                <w:sz w:val="20"/>
                <w:szCs w:val="20"/>
              </w:rPr>
              <w:t>port</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sz w:val="20"/>
                <w:szCs w:val="20"/>
              </w:rPr>
            </w:pPr>
            <w:r>
              <w:rPr>
                <w:rFonts w:ascii="Arial" w:hAnsi="Arial" w:cs="Arial"/>
                <w:sz w:val="20"/>
                <w:szCs w:val="20"/>
              </w:rPr>
              <w:t>KPMG</w:t>
            </w:r>
          </w:p>
        </w:tc>
        <w:tc>
          <w:tcPr>
            <w:tcW w:w="99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July 2018</w:t>
            </w:r>
          </w:p>
        </w:tc>
      </w:tr>
      <w:tr w:rsidR="00F454FF" w:rsidTr="00773BC9">
        <w:trPr>
          <w:trHeight w:val="356"/>
        </w:trPr>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both"/>
              <w:rPr>
                <w:rFonts w:ascii="Arial" w:hAnsi="Arial" w:cs="Arial"/>
                <w:color w:val="000000"/>
                <w:sz w:val="20"/>
                <w:szCs w:val="20"/>
              </w:rPr>
            </w:pPr>
            <w:r>
              <w:rPr>
                <w:rFonts w:ascii="Arial" w:hAnsi="Arial" w:cs="Arial"/>
                <w:color w:val="000000"/>
                <w:sz w:val="20"/>
                <w:szCs w:val="20"/>
              </w:rPr>
              <w:t>8</w:t>
            </w:r>
          </w:p>
        </w:tc>
        <w:tc>
          <w:tcPr>
            <w:tcW w:w="1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F454FF" w:rsidRPr="00EB7B9F" w:rsidRDefault="00F454FF" w:rsidP="00F454FF">
            <w:pPr>
              <w:spacing w:before="120" w:after="120"/>
              <w:rPr>
                <w:rFonts w:ascii="Arial" w:hAnsi="Arial" w:cs="Arial"/>
                <w:sz w:val="20"/>
                <w:szCs w:val="20"/>
              </w:rPr>
            </w:pPr>
            <w:r w:rsidRPr="00917708">
              <w:rPr>
                <w:rFonts w:ascii="Arial" w:hAnsi="Arial" w:cs="Arial"/>
                <w:color w:val="000000"/>
                <w:sz w:val="20"/>
                <w:szCs w:val="20"/>
              </w:rPr>
              <w:t>Assurance plan</w:t>
            </w:r>
          </w:p>
        </w:tc>
        <w:tc>
          <w:tcPr>
            <w:tcW w:w="1416"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sz w:val="20"/>
                <w:szCs w:val="20"/>
              </w:rPr>
            </w:pPr>
            <w:r>
              <w:rPr>
                <w:rFonts w:ascii="Arial" w:hAnsi="Arial" w:cs="Arial"/>
                <w:sz w:val="20"/>
                <w:szCs w:val="20"/>
              </w:rPr>
              <w:t>Assurance Plan</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sz w:val="20"/>
                <w:szCs w:val="20"/>
              </w:rPr>
            </w:pPr>
            <w:r>
              <w:rPr>
                <w:rFonts w:ascii="Arial" w:hAnsi="Arial" w:cs="Arial"/>
                <w:sz w:val="20"/>
                <w:szCs w:val="20"/>
              </w:rPr>
              <w:t>-</w:t>
            </w:r>
          </w:p>
        </w:tc>
        <w:tc>
          <w:tcPr>
            <w:tcW w:w="99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April 2018</w:t>
            </w:r>
          </w:p>
        </w:tc>
      </w:tr>
      <w:tr w:rsidR="00F454FF" w:rsidTr="00773BC9">
        <w:trPr>
          <w:trHeight w:val="356"/>
        </w:trPr>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Default="00F454FF" w:rsidP="00F454FF">
            <w:pPr>
              <w:spacing w:before="120" w:after="120"/>
              <w:jc w:val="both"/>
              <w:rPr>
                <w:rFonts w:ascii="Arial" w:hAnsi="Arial" w:cs="Arial"/>
                <w:color w:val="000000"/>
                <w:sz w:val="20"/>
                <w:szCs w:val="20"/>
              </w:rPr>
            </w:pPr>
            <w:r>
              <w:rPr>
                <w:rFonts w:ascii="Arial" w:hAnsi="Arial" w:cs="Arial"/>
                <w:color w:val="000000"/>
                <w:sz w:val="20"/>
                <w:szCs w:val="20"/>
              </w:rPr>
              <w:t>9</w:t>
            </w:r>
          </w:p>
        </w:tc>
        <w:tc>
          <w:tcPr>
            <w:tcW w:w="1335"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rPr>
                <w:rFonts w:ascii="Arial" w:hAnsi="Arial" w:cs="Arial"/>
                <w:color w:val="000000"/>
                <w:sz w:val="20"/>
                <w:szCs w:val="20"/>
              </w:rPr>
            </w:pPr>
            <w:r w:rsidRPr="00917708">
              <w:rPr>
                <w:rFonts w:ascii="Arial" w:hAnsi="Arial" w:cs="Arial"/>
                <w:color w:val="000000"/>
                <w:sz w:val="20"/>
                <w:szCs w:val="20"/>
              </w:rPr>
              <w:t>Cost assessment</w:t>
            </w:r>
          </w:p>
        </w:tc>
        <w:tc>
          <w:tcPr>
            <w:tcW w:w="1416"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Company Business Plan</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Atkins</w:t>
            </w:r>
          </w:p>
        </w:tc>
        <w:tc>
          <w:tcPr>
            <w:tcW w:w="99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color w:val="000000"/>
                <w:sz w:val="20"/>
                <w:szCs w:val="20"/>
              </w:rPr>
            </w:pPr>
          </w:p>
        </w:tc>
      </w:tr>
      <w:tr w:rsidR="00F454FF" w:rsidTr="00773BC9">
        <w:trPr>
          <w:trHeight w:val="356"/>
        </w:trPr>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Default="00F454FF" w:rsidP="00F454FF">
            <w:pPr>
              <w:spacing w:before="120" w:after="120"/>
              <w:jc w:val="both"/>
              <w:rPr>
                <w:rFonts w:ascii="Arial" w:hAnsi="Arial" w:cs="Arial"/>
                <w:color w:val="000000"/>
                <w:sz w:val="20"/>
                <w:szCs w:val="20"/>
              </w:rPr>
            </w:pPr>
            <w:r>
              <w:rPr>
                <w:rFonts w:ascii="Arial" w:hAnsi="Arial" w:cs="Arial"/>
                <w:color w:val="000000"/>
                <w:sz w:val="20"/>
                <w:szCs w:val="20"/>
              </w:rPr>
              <w:t>10</w:t>
            </w:r>
          </w:p>
        </w:tc>
        <w:tc>
          <w:tcPr>
            <w:tcW w:w="1335"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917708" w:rsidRDefault="00F454FF" w:rsidP="00F454FF">
            <w:pPr>
              <w:spacing w:before="120" w:after="120"/>
              <w:rPr>
                <w:rFonts w:ascii="Arial" w:hAnsi="Arial" w:cs="Arial"/>
                <w:color w:val="000000"/>
                <w:sz w:val="20"/>
                <w:szCs w:val="20"/>
              </w:rPr>
            </w:pPr>
            <w:r w:rsidRPr="0082098A">
              <w:rPr>
                <w:rFonts w:ascii="Arial" w:hAnsi="Arial" w:cs="Arial"/>
                <w:color w:val="000000"/>
                <w:sz w:val="20"/>
                <w:szCs w:val="20"/>
              </w:rPr>
              <w:t>Casework</w:t>
            </w:r>
            <w:r>
              <w:rPr>
                <w:rFonts w:ascii="Arial" w:hAnsi="Arial" w:cs="Arial"/>
                <w:color w:val="000000"/>
                <w:sz w:val="20"/>
                <w:szCs w:val="20"/>
              </w:rPr>
              <w:t>*</w:t>
            </w:r>
          </w:p>
        </w:tc>
        <w:tc>
          <w:tcPr>
            <w:tcW w:w="1416"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color w:val="000000"/>
                <w:sz w:val="20"/>
                <w:szCs w:val="20"/>
              </w:rPr>
            </w:pP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NA</w:t>
            </w:r>
          </w:p>
        </w:tc>
        <w:tc>
          <w:tcPr>
            <w:tcW w:w="99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NA</w:t>
            </w:r>
          </w:p>
        </w:tc>
      </w:tr>
      <w:tr w:rsidR="00F454FF" w:rsidTr="00773BC9">
        <w:trPr>
          <w:trHeight w:val="356"/>
        </w:trPr>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Default="00F454FF" w:rsidP="00F454FF">
            <w:pPr>
              <w:spacing w:before="120" w:after="120"/>
              <w:jc w:val="both"/>
              <w:rPr>
                <w:rFonts w:ascii="Arial" w:hAnsi="Arial" w:cs="Arial"/>
                <w:color w:val="000000"/>
                <w:sz w:val="20"/>
                <w:szCs w:val="20"/>
              </w:rPr>
            </w:pPr>
            <w:r>
              <w:rPr>
                <w:rFonts w:ascii="Arial" w:hAnsi="Arial" w:cs="Arial"/>
                <w:color w:val="000000"/>
                <w:sz w:val="20"/>
                <w:szCs w:val="20"/>
              </w:rPr>
              <w:t>11</w:t>
            </w:r>
          </w:p>
        </w:tc>
        <w:tc>
          <w:tcPr>
            <w:tcW w:w="1335"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917708" w:rsidRDefault="00F454FF" w:rsidP="00F454FF">
            <w:pPr>
              <w:spacing w:before="120" w:after="120"/>
              <w:rPr>
                <w:rFonts w:ascii="Arial" w:hAnsi="Arial" w:cs="Arial"/>
                <w:color w:val="000000"/>
                <w:sz w:val="20"/>
                <w:szCs w:val="20"/>
              </w:rPr>
            </w:pPr>
            <w:r w:rsidRPr="0082098A">
              <w:rPr>
                <w:rFonts w:ascii="Arial" w:hAnsi="Arial" w:cs="Arial"/>
                <w:color w:val="000000"/>
                <w:sz w:val="20"/>
                <w:szCs w:val="20"/>
              </w:rPr>
              <w:t>PR19 Initial assessment of business plans – data</w:t>
            </w:r>
            <w:r>
              <w:rPr>
                <w:rFonts w:ascii="Arial" w:hAnsi="Arial" w:cs="Arial"/>
                <w:color w:val="000000"/>
                <w:sz w:val="20"/>
                <w:szCs w:val="20"/>
              </w:rPr>
              <w:t xml:space="preserve"> </w:t>
            </w:r>
            <w:r w:rsidRPr="0082098A">
              <w:rPr>
                <w:rFonts w:ascii="Arial" w:hAnsi="Arial" w:cs="Arial"/>
                <w:color w:val="000000"/>
                <w:sz w:val="20"/>
                <w:szCs w:val="20"/>
              </w:rPr>
              <w:t>consistency</w:t>
            </w:r>
          </w:p>
        </w:tc>
        <w:tc>
          <w:tcPr>
            <w:tcW w:w="1416"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Company Business Plan</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Atkins,</w:t>
            </w:r>
          </w:p>
          <w:p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KPMG</w:t>
            </w:r>
          </w:p>
        </w:tc>
        <w:tc>
          <w:tcPr>
            <w:tcW w:w="99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September 2018</w:t>
            </w:r>
          </w:p>
        </w:tc>
      </w:tr>
      <w:tr w:rsidR="00F454FF" w:rsidTr="00773BC9">
        <w:trPr>
          <w:trHeight w:val="356"/>
        </w:trPr>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Default="00F454FF" w:rsidP="00F454FF">
            <w:pPr>
              <w:spacing w:before="120" w:after="120"/>
              <w:jc w:val="both"/>
              <w:rPr>
                <w:rFonts w:ascii="Arial" w:hAnsi="Arial" w:cs="Arial"/>
                <w:color w:val="000000"/>
                <w:sz w:val="20"/>
                <w:szCs w:val="20"/>
              </w:rPr>
            </w:pPr>
            <w:r>
              <w:rPr>
                <w:rFonts w:ascii="Arial" w:hAnsi="Arial" w:cs="Arial"/>
                <w:color w:val="000000"/>
                <w:sz w:val="20"/>
                <w:szCs w:val="20"/>
              </w:rPr>
              <w:t>12</w:t>
            </w:r>
          </w:p>
        </w:tc>
        <w:tc>
          <w:tcPr>
            <w:tcW w:w="1335"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162E6E" w:rsidRDefault="00F454FF" w:rsidP="00F454FF">
            <w:pPr>
              <w:spacing w:before="120" w:after="120"/>
              <w:rPr>
                <w:rFonts w:ascii="Arial" w:hAnsi="Arial" w:cs="Arial"/>
                <w:color w:val="000000"/>
                <w:sz w:val="20"/>
                <w:szCs w:val="20"/>
              </w:rPr>
            </w:pPr>
            <w:r w:rsidRPr="00162E6E">
              <w:rPr>
                <w:rFonts w:ascii="Arial" w:hAnsi="Arial" w:cs="Arial"/>
                <w:color w:val="000000"/>
                <w:sz w:val="20"/>
                <w:szCs w:val="20"/>
              </w:rPr>
              <w:t>PR19 Initial assessment of business plans – data quality</w:t>
            </w:r>
          </w:p>
        </w:tc>
        <w:tc>
          <w:tcPr>
            <w:tcW w:w="1416"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162E6E"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Company Business Plan</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162E6E" w:rsidRDefault="00F454FF" w:rsidP="00F454FF">
            <w:pPr>
              <w:spacing w:before="120" w:after="120"/>
              <w:jc w:val="center"/>
              <w:rPr>
                <w:rFonts w:ascii="Arial" w:hAnsi="Arial" w:cs="Arial"/>
                <w:color w:val="000000"/>
                <w:sz w:val="20"/>
                <w:szCs w:val="20"/>
              </w:rPr>
            </w:pPr>
            <w:r w:rsidRPr="00162E6E">
              <w:rPr>
                <w:rFonts w:ascii="Arial" w:hAnsi="Arial" w:cs="Arial"/>
                <w:color w:val="000000"/>
                <w:sz w:val="20"/>
                <w:szCs w:val="20"/>
              </w:rPr>
              <w:t>Atkins,</w:t>
            </w:r>
          </w:p>
          <w:p w:rsidR="00F454FF" w:rsidRPr="00162E6E" w:rsidRDefault="00F454FF" w:rsidP="00F454FF">
            <w:pPr>
              <w:spacing w:before="120" w:after="120"/>
              <w:jc w:val="center"/>
              <w:rPr>
                <w:rFonts w:ascii="Arial" w:hAnsi="Arial" w:cs="Arial"/>
                <w:color w:val="000000"/>
                <w:sz w:val="20"/>
                <w:szCs w:val="20"/>
              </w:rPr>
            </w:pPr>
            <w:r w:rsidRPr="00162E6E">
              <w:rPr>
                <w:rFonts w:ascii="Arial" w:hAnsi="Arial" w:cs="Arial"/>
                <w:color w:val="000000"/>
                <w:sz w:val="20"/>
                <w:szCs w:val="20"/>
              </w:rPr>
              <w:t>KPMG</w:t>
            </w:r>
          </w:p>
        </w:tc>
        <w:tc>
          <w:tcPr>
            <w:tcW w:w="99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September 2018</w:t>
            </w:r>
          </w:p>
        </w:tc>
      </w:tr>
      <w:tr w:rsidR="00F454FF" w:rsidTr="00773BC9">
        <w:trPr>
          <w:trHeight w:val="699"/>
        </w:trPr>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Default="00F454FF" w:rsidP="00F454FF">
            <w:pPr>
              <w:spacing w:before="120" w:after="120"/>
              <w:jc w:val="both"/>
              <w:rPr>
                <w:rFonts w:ascii="Arial" w:hAnsi="Arial" w:cs="Arial"/>
                <w:color w:val="000000"/>
                <w:sz w:val="20"/>
                <w:szCs w:val="20"/>
              </w:rPr>
            </w:pPr>
            <w:r>
              <w:rPr>
                <w:rFonts w:ascii="Arial" w:hAnsi="Arial" w:cs="Arial"/>
                <w:color w:val="000000"/>
                <w:sz w:val="20"/>
                <w:szCs w:val="20"/>
              </w:rPr>
              <w:t>13</w:t>
            </w:r>
          </w:p>
        </w:tc>
        <w:tc>
          <w:tcPr>
            <w:tcW w:w="1335"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917708" w:rsidRDefault="00F454FF" w:rsidP="00F454FF">
            <w:pPr>
              <w:spacing w:before="120" w:after="120"/>
              <w:rPr>
                <w:rFonts w:ascii="Arial" w:hAnsi="Arial" w:cs="Arial"/>
                <w:color w:val="000000"/>
                <w:sz w:val="20"/>
                <w:szCs w:val="20"/>
              </w:rPr>
            </w:pPr>
            <w:r w:rsidRPr="0082098A">
              <w:rPr>
                <w:rFonts w:ascii="Arial" w:hAnsi="Arial" w:cs="Arial"/>
                <w:color w:val="000000"/>
                <w:sz w:val="20"/>
                <w:szCs w:val="20"/>
              </w:rPr>
              <w:t>Wider assurance and information</w:t>
            </w:r>
          </w:p>
        </w:tc>
        <w:tc>
          <w:tcPr>
            <w:tcW w:w="1416"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DWI</w:t>
            </w:r>
          </w:p>
          <w:p w:rsidR="00F454F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EA</w:t>
            </w:r>
          </w:p>
          <w:p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Natural England</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No explicit third party assurance</w:t>
            </w:r>
          </w:p>
        </w:tc>
        <w:tc>
          <w:tcPr>
            <w:tcW w:w="993" w:type="pct"/>
            <w:tcBorders>
              <w:top w:val="single" w:sz="4" w:space="0" w:color="auto"/>
              <w:left w:val="single" w:sz="4" w:space="0" w:color="auto"/>
              <w:bottom w:val="single" w:sz="4" w:space="0" w:color="auto"/>
              <w:right w:val="single" w:sz="4" w:space="0" w:color="auto"/>
            </w:tcBorders>
            <w:shd w:val="clear" w:color="auto" w:fill="FFFFFF" w:themeFill="background1"/>
          </w:tcPr>
          <w:p w:rsidR="00F454FF" w:rsidRPr="00EB7B9F" w:rsidRDefault="00F454FF" w:rsidP="00F454FF">
            <w:pPr>
              <w:spacing w:before="120" w:after="120"/>
              <w:jc w:val="center"/>
              <w:rPr>
                <w:rFonts w:ascii="Arial" w:hAnsi="Arial" w:cs="Arial"/>
                <w:color w:val="000000"/>
                <w:sz w:val="20"/>
                <w:szCs w:val="20"/>
              </w:rPr>
            </w:pPr>
            <w:r>
              <w:rPr>
                <w:rFonts w:ascii="Arial" w:hAnsi="Arial" w:cs="Arial"/>
                <w:color w:val="000000"/>
                <w:sz w:val="20"/>
                <w:szCs w:val="20"/>
              </w:rPr>
              <w:t>Ongoing</w:t>
            </w:r>
          </w:p>
        </w:tc>
      </w:tr>
    </w:tbl>
    <w:p w:rsidR="00CE1FE0" w:rsidRDefault="00CE1FE0" w:rsidP="00F454FF">
      <w:pPr>
        <w:autoSpaceDE w:val="0"/>
        <w:autoSpaceDN w:val="0"/>
        <w:adjustRightInd w:val="0"/>
        <w:spacing w:after="0" w:line="240" w:lineRule="auto"/>
        <w:rPr>
          <w:rFonts w:ascii="Arial" w:hAnsi="Arial" w:cs="Arial"/>
          <w:b/>
        </w:rPr>
      </w:pPr>
    </w:p>
    <w:p w:rsidR="00F454FF" w:rsidRPr="00374873" w:rsidRDefault="00CE1FE0" w:rsidP="00CE1FE0">
      <w:pPr>
        <w:rPr>
          <w:rFonts w:ascii="Arial" w:hAnsi="Arial" w:cs="Arial"/>
          <w:b/>
        </w:rPr>
      </w:pPr>
      <w:r>
        <w:rPr>
          <w:rFonts w:ascii="Arial" w:hAnsi="Arial" w:cs="Arial"/>
          <w:b/>
        </w:rPr>
        <w:br w:type="page"/>
      </w:r>
      <w:r w:rsidR="00F454FF" w:rsidRPr="00374873">
        <w:rPr>
          <w:rFonts w:ascii="Arial" w:hAnsi="Arial" w:cs="Arial"/>
          <w:b/>
        </w:rPr>
        <w:t>Third Party Assurers</w:t>
      </w:r>
    </w:p>
    <w:p w:rsidR="00F454FF" w:rsidRDefault="00F454FF" w:rsidP="00F454FF">
      <w:pPr>
        <w:pStyle w:val="ListParagraph"/>
        <w:autoSpaceDE w:val="0"/>
        <w:autoSpaceDN w:val="0"/>
        <w:adjustRightInd w:val="0"/>
        <w:spacing w:after="0" w:line="240" w:lineRule="auto"/>
        <w:ind w:left="502"/>
        <w:rPr>
          <w:rFonts w:ascii="Arial" w:hAnsi="Arial" w:cs="Arial"/>
        </w:rPr>
      </w:pPr>
    </w:p>
    <w:p w:rsidR="00F454FF" w:rsidRPr="00034B53" w:rsidRDefault="00773BC9" w:rsidP="00773BC9">
      <w:pPr>
        <w:autoSpaceDE w:val="0"/>
        <w:autoSpaceDN w:val="0"/>
        <w:adjustRightInd w:val="0"/>
        <w:spacing w:after="0" w:line="240" w:lineRule="auto"/>
        <w:ind w:left="720" w:hanging="720"/>
        <w:jc w:val="both"/>
        <w:rPr>
          <w:rFonts w:ascii="Arial" w:hAnsi="Arial" w:cs="Arial"/>
        </w:rPr>
      </w:pPr>
      <w:r>
        <w:rPr>
          <w:rFonts w:ascii="Arial" w:hAnsi="Arial" w:cs="Arial"/>
        </w:rPr>
        <w:t>3.3</w:t>
      </w:r>
      <w:r>
        <w:rPr>
          <w:rFonts w:ascii="Arial" w:hAnsi="Arial" w:cs="Arial"/>
        </w:rPr>
        <w:tab/>
      </w:r>
      <w:r w:rsidR="00F454FF" w:rsidRPr="00AF462E">
        <w:rPr>
          <w:rFonts w:ascii="Arial" w:hAnsi="Arial" w:cs="Arial"/>
        </w:rPr>
        <w:t xml:space="preserve">Our </w:t>
      </w:r>
      <w:r w:rsidR="00CE1FE0">
        <w:rPr>
          <w:rFonts w:ascii="Arial" w:hAnsi="Arial" w:cs="Arial"/>
        </w:rPr>
        <w:t>t</w:t>
      </w:r>
      <w:r w:rsidR="00F454FF" w:rsidRPr="00AF462E">
        <w:rPr>
          <w:rFonts w:ascii="Arial" w:hAnsi="Arial" w:cs="Arial"/>
        </w:rPr>
        <w:t xml:space="preserve">hird party assurers have been chosen </w:t>
      </w:r>
      <w:r w:rsidR="00CE1FE0">
        <w:rPr>
          <w:rFonts w:ascii="Arial" w:hAnsi="Arial" w:cs="Arial"/>
        </w:rPr>
        <w:t xml:space="preserve">based upon </w:t>
      </w:r>
      <w:r w:rsidR="00F454FF" w:rsidRPr="00AF462E">
        <w:rPr>
          <w:rFonts w:ascii="Arial" w:hAnsi="Arial" w:cs="Arial"/>
        </w:rPr>
        <w:t>their knowledge of the regulatory framework of the Water Industry.</w:t>
      </w:r>
    </w:p>
    <w:p w:rsidR="00F454FF" w:rsidRDefault="00F454FF" w:rsidP="00F454FF">
      <w:pPr>
        <w:pStyle w:val="ListParagraph"/>
        <w:autoSpaceDE w:val="0"/>
        <w:autoSpaceDN w:val="0"/>
        <w:adjustRightInd w:val="0"/>
        <w:spacing w:after="0" w:line="240" w:lineRule="auto"/>
        <w:ind w:left="502"/>
        <w:jc w:val="both"/>
        <w:rPr>
          <w:rFonts w:ascii="Arial" w:hAnsi="Arial" w:cs="Arial"/>
        </w:rPr>
      </w:pPr>
    </w:p>
    <w:p w:rsidR="00F454FF" w:rsidRPr="00034B53" w:rsidRDefault="00F454FF" w:rsidP="00773BC9">
      <w:pPr>
        <w:pStyle w:val="ListParagraph"/>
        <w:numPr>
          <w:ilvl w:val="0"/>
          <w:numId w:val="20"/>
        </w:numPr>
        <w:autoSpaceDE w:val="0"/>
        <w:autoSpaceDN w:val="0"/>
        <w:adjustRightInd w:val="0"/>
        <w:spacing w:after="0" w:line="240" w:lineRule="auto"/>
        <w:ind w:left="1080"/>
        <w:jc w:val="both"/>
        <w:rPr>
          <w:rFonts w:ascii="Arial" w:hAnsi="Arial" w:cs="Arial"/>
        </w:rPr>
      </w:pPr>
      <w:r w:rsidRPr="00034B53">
        <w:rPr>
          <w:rFonts w:ascii="Arial" w:hAnsi="Arial" w:cs="Arial"/>
        </w:rPr>
        <w:t xml:space="preserve">Atkins have been the reporter since 2013 and in April 2019 we will retender for this appointment.  </w:t>
      </w:r>
    </w:p>
    <w:p w:rsidR="00F454FF" w:rsidRPr="00034B53" w:rsidRDefault="00F454FF" w:rsidP="00773BC9">
      <w:pPr>
        <w:pStyle w:val="ListParagraph"/>
        <w:numPr>
          <w:ilvl w:val="0"/>
          <w:numId w:val="20"/>
        </w:numPr>
        <w:autoSpaceDE w:val="0"/>
        <w:autoSpaceDN w:val="0"/>
        <w:adjustRightInd w:val="0"/>
        <w:spacing w:after="0" w:line="240" w:lineRule="auto"/>
        <w:ind w:left="1080"/>
        <w:jc w:val="both"/>
        <w:rPr>
          <w:rFonts w:ascii="Arial" w:hAnsi="Arial" w:cs="Arial"/>
        </w:rPr>
      </w:pPr>
      <w:r w:rsidRPr="00034B53">
        <w:rPr>
          <w:rFonts w:ascii="Arial" w:hAnsi="Arial" w:cs="Arial"/>
        </w:rPr>
        <w:t xml:space="preserve">KPMG became the company’s financial auditor in 2017 as a result of a thorough review process.  </w:t>
      </w:r>
    </w:p>
    <w:p w:rsidR="00F454FF" w:rsidRPr="00034B53" w:rsidRDefault="00F454FF" w:rsidP="00773BC9">
      <w:pPr>
        <w:pStyle w:val="ListParagraph"/>
        <w:numPr>
          <w:ilvl w:val="0"/>
          <w:numId w:val="20"/>
        </w:numPr>
        <w:autoSpaceDE w:val="0"/>
        <w:autoSpaceDN w:val="0"/>
        <w:adjustRightInd w:val="0"/>
        <w:spacing w:after="0" w:line="240" w:lineRule="auto"/>
        <w:ind w:left="1080"/>
        <w:jc w:val="both"/>
        <w:rPr>
          <w:rFonts w:ascii="Arial" w:hAnsi="Arial" w:cs="Arial"/>
        </w:rPr>
      </w:pPr>
      <w:r w:rsidRPr="00034B53">
        <w:rPr>
          <w:rFonts w:ascii="Arial" w:hAnsi="Arial" w:cs="Arial"/>
        </w:rPr>
        <w:t>Frontier Economics have provided external third party assurance on our Charges during this AMP period.</w:t>
      </w:r>
    </w:p>
    <w:p w:rsidR="00F454FF" w:rsidRPr="00036948" w:rsidRDefault="00F454FF" w:rsidP="00F454FF">
      <w:pPr>
        <w:jc w:val="both"/>
      </w:pPr>
    </w:p>
    <w:p w:rsidR="00F454FF" w:rsidRDefault="00F454FF" w:rsidP="00F454FF">
      <w:pPr>
        <w:rPr>
          <w:rFonts w:asciiTheme="majorHAnsi" w:eastAsiaTheme="majorEastAsia" w:hAnsiTheme="majorHAnsi" w:cstheme="majorBidi"/>
          <w:color w:val="2E74B5" w:themeColor="accent1" w:themeShade="BF"/>
          <w:sz w:val="32"/>
          <w:szCs w:val="32"/>
        </w:rPr>
      </w:pPr>
      <w:r>
        <w:br w:type="page"/>
      </w:r>
    </w:p>
    <w:p w:rsidR="00F454FF" w:rsidRPr="00557777" w:rsidRDefault="007367C8" w:rsidP="00557777">
      <w:pPr>
        <w:rPr>
          <w:rFonts w:ascii="Arial" w:hAnsi="Arial" w:cs="Arial"/>
          <w:b/>
          <w:sz w:val="24"/>
          <w:szCs w:val="24"/>
        </w:rPr>
      </w:pPr>
      <w:bookmarkStart w:id="5" w:name="_Toc1632181"/>
      <w:bookmarkStart w:id="6" w:name="_Toc1655524"/>
      <w:r w:rsidRPr="00557777">
        <w:rPr>
          <w:rFonts w:ascii="Arial" w:hAnsi="Arial" w:cs="Arial"/>
          <w:b/>
          <w:sz w:val="24"/>
          <w:szCs w:val="24"/>
        </w:rPr>
        <w:t>4.</w:t>
      </w:r>
      <w:r w:rsidRPr="00557777">
        <w:rPr>
          <w:rFonts w:ascii="Arial" w:hAnsi="Arial" w:cs="Arial"/>
          <w:b/>
          <w:sz w:val="24"/>
          <w:szCs w:val="24"/>
        </w:rPr>
        <w:tab/>
      </w:r>
      <w:r w:rsidR="00F454FF" w:rsidRPr="00557777">
        <w:rPr>
          <w:rFonts w:ascii="Arial" w:hAnsi="Arial" w:cs="Arial"/>
          <w:b/>
          <w:sz w:val="24"/>
          <w:szCs w:val="24"/>
        </w:rPr>
        <w:t>Feedback from stakeholders</w:t>
      </w:r>
      <w:bookmarkEnd w:id="5"/>
      <w:bookmarkEnd w:id="6"/>
    </w:p>
    <w:p w:rsidR="00CB667A" w:rsidRDefault="00557777" w:rsidP="00CB667A">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4</w:t>
      </w:r>
      <w:r w:rsidR="00F454FF">
        <w:rPr>
          <w:rFonts w:ascii="Arial" w:hAnsi="Arial" w:cs="Arial"/>
          <w:color w:val="000000"/>
        </w:rPr>
        <w:t>.1</w:t>
      </w:r>
      <w:r w:rsidR="00F454FF">
        <w:rPr>
          <w:rFonts w:ascii="Arial" w:hAnsi="Arial" w:cs="Arial"/>
          <w:color w:val="000000"/>
        </w:rPr>
        <w:tab/>
      </w:r>
      <w:r w:rsidR="00F454FF" w:rsidRPr="00A94018">
        <w:rPr>
          <w:rFonts w:ascii="Arial" w:hAnsi="Arial" w:cs="Arial"/>
          <w:color w:val="000000"/>
        </w:rPr>
        <w:t>This section provides details of our engagement thus far with key stakeholders this year on our Risks, Strengths and Weaknesses report.</w:t>
      </w:r>
    </w:p>
    <w:p w:rsidR="00CB667A" w:rsidRDefault="00CB667A" w:rsidP="00CB667A">
      <w:pPr>
        <w:autoSpaceDE w:val="0"/>
        <w:autoSpaceDN w:val="0"/>
        <w:adjustRightInd w:val="0"/>
        <w:spacing w:after="0" w:line="240" w:lineRule="auto"/>
        <w:ind w:left="720" w:hanging="720"/>
        <w:jc w:val="both"/>
        <w:rPr>
          <w:rFonts w:ascii="Arial" w:hAnsi="Arial" w:cs="Arial"/>
          <w:color w:val="000000"/>
        </w:rPr>
      </w:pPr>
    </w:p>
    <w:p w:rsidR="00F454FF" w:rsidRPr="00CB667A" w:rsidRDefault="00557777" w:rsidP="00CB667A">
      <w:pPr>
        <w:autoSpaceDE w:val="0"/>
        <w:autoSpaceDN w:val="0"/>
        <w:adjustRightInd w:val="0"/>
        <w:spacing w:after="0" w:line="240" w:lineRule="auto"/>
        <w:ind w:left="709" w:hanging="709"/>
        <w:jc w:val="both"/>
        <w:rPr>
          <w:rFonts w:ascii="Arial" w:hAnsi="Arial" w:cs="Arial"/>
          <w:color w:val="000000"/>
        </w:rPr>
      </w:pPr>
      <w:r>
        <w:rPr>
          <w:rFonts w:ascii="Arial" w:hAnsi="Arial" w:cs="Arial"/>
        </w:rPr>
        <w:t>4</w:t>
      </w:r>
      <w:r w:rsidR="00CB667A">
        <w:rPr>
          <w:rFonts w:ascii="Arial" w:hAnsi="Arial" w:cs="Arial"/>
        </w:rPr>
        <w:t>.2</w:t>
      </w:r>
      <w:r w:rsidR="00CB667A">
        <w:rPr>
          <w:rFonts w:ascii="Arial" w:hAnsi="Arial" w:cs="Arial"/>
        </w:rPr>
        <w:tab/>
      </w:r>
      <w:r w:rsidR="00F454FF" w:rsidRPr="00A94018">
        <w:rPr>
          <w:rFonts w:ascii="Arial" w:hAnsi="Arial" w:cs="Arial"/>
        </w:rPr>
        <w:t>We primarily engage with our stakeholders via our Customer Challenge Group (CCG). The Portsmouth Water CCG was established in 2012 and the group comprises regulators, customer representatives, local government elected members and key stakeholders. We invited all members of the CCG to respond to our Risks, Strengths and Weaknesses consultation, we additionally published the consultation on our website open to the wider public.</w:t>
      </w:r>
    </w:p>
    <w:p w:rsidR="00F454FF" w:rsidRDefault="00F454FF" w:rsidP="00F454FF">
      <w:pPr>
        <w:pStyle w:val="ListParagraph"/>
        <w:autoSpaceDE w:val="0"/>
        <w:autoSpaceDN w:val="0"/>
        <w:adjustRightInd w:val="0"/>
        <w:spacing w:after="0" w:line="240" w:lineRule="auto"/>
        <w:ind w:left="360"/>
        <w:jc w:val="both"/>
        <w:rPr>
          <w:rFonts w:ascii="Arial" w:hAnsi="Arial" w:cs="Arial"/>
        </w:rPr>
      </w:pPr>
    </w:p>
    <w:p w:rsidR="00F454FF" w:rsidRPr="00CB667A" w:rsidRDefault="00557777" w:rsidP="00CB667A">
      <w:pPr>
        <w:autoSpaceDE w:val="0"/>
        <w:autoSpaceDN w:val="0"/>
        <w:adjustRightInd w:val="0"/>
        <w:spacing w:after="0" w:line="240" w:lineRule="auto"/>
        <w:ind w:left="709" w:hanging="709"/>
        <w:jc w:val="both"/>
        <w:rPr>
          <w:rFonts w:ascii="Arial" w:hAnsi="Arial" w:cs="Arial"/>
        </w:rPr>
      </w:pPr>
      <w:r>
        <w:rPr>
          <w:rFonts w:ascii="Arial" w:hAnsi="Arial" w:cs="Arial"/>
        </w:rPr>
        <w:t>4</w:t>
      </w:r>
      <w:r w:rsidR="00CB667A">
        <w:rPr>
          <w:rFonts w:ascii="Arial" w:hAnsi="Arial" w:cs="Arial"/>
        </w:rPr>
        <w:t>.3</w:t>
      </w:r>
      <w:r w:rsidR="00CB667A">
        <w:rPr>
          <w:rFonts w:ascii="Arial" w:hAnsi="Arial" w:cs="Arial"/>
        </w:rPr>
        <w:tab/>
      </w:r>
      <w:r w:rsidR="00F454FF" w:rsidRPr="00CB667A">
        <w:rPr>
          <w:rFonts w:ascii="Arial" w:hAnsi="Arial" w:cs="Arial"/>
        </w:rPr>
        <w:t>We received a response from one stakeholder, the West Sussex County Council</w:t>
      </w:r>
      <w:r w:rsidR="00234D58" w:rsidRPr="00CB667A">
        <w:rPr>
          <w:rFonts w:ascii="Arial" w:hAnsi="Arial" w:cs="Arial"/>
        </w:rPr>
        <w:t xml:space="preserve"> who made some very helpful observations on our approach to identifying Risk, Strengths and Weaknesses in the data we provided.  Our draft Audit Plan responded to thos</w:t>
      </w:r>
      <w:r w:rsidR="00773BC9">
        <w:rPr>
          <w:rFonts w:ascii="Arial" w:hAnsi="Arial" w:cs="Arial"/>
        </w:rPr>
        <w:t>e</w:t>
      </w:r>
      <w:r w:rsidR="00234D58" w:rsidRPr="00CB667A">
        <w:rPr>
          <w:rFonts w:ascii="Arial" w:hAnsi="Arial" w:cs="Arial"/>
        </w:rPr>
        <w:t xml:space="preserve"> comments explicitly.</w:t>
      </w:r>
    </w:p>
    <w:p w:rsidR="00F454FF" w:rsidRPr="00A94018" w:rsidRDefault="00F454FF" w:rsidP="00F454FF">
      <w:pPr>
        <w:pStyle w:val="ListParagraph"/>
        <w:rPr>
          <w:rFonts w:ascii="Arial" w:hAnsi="Arial" w:cs="Arial"/>
        </w:rPr>
      </w:pPr>
    </w:p>
    <w:p w:rsidR="00F454FF" w:rsidRPr="00CB667A" w:rsidRDefault="00557777" w:rsidP="00CB667A">
      <w:pPr>
        <w:autoSpaceDE w:val="0"/>
        <w:autoSpaceDN w:val="0"/>
        <w:adjustRightInd w:val="0"/>
        <w:spacing w:after="0" w:line="240" w:lineRule="auto"/>
        <w:ind w:left="709" w:hanging="709"/>
        <w:jc w:val="both"/>
        <w:rPr>
          <w:rFonts w:ascii="Arial" w:hAnsi="Arial" w:cs="Arial"/>
        </w:rPr>
      </w:pPr>
      <w:r>
        <w:rPr>
          <w:rFonts w:ascii="Arial" w:hAnsi="Arial" w:cs="Arial"/>
        </w:rPr>
        <w:t>4</w:t>
      </w:r>
      <w:r w:rsidR="00CB667A">
        <w:rPr>
          <w:rFonts w:ascii="Arial" w:hAnsi="Arial" w:cs="Arial"/>
        </w:rPr>
        <w:t>.4</w:t>
      </w:r>
      <w:r w:rsidR="00CB667A">
        <w:rPr>
          <w:rFonts w:ascii="Arial" w:hAnsi="Arial" w:cs="Arial"/>
        </w:rPr>
        <w:tab/>
      </w:r>
      <w:r w:rsidR="00F454FF" w:rsidRPr="00CB667A">
        <w:rPr>
          <w:rFonts w:ascii="Arial" w:hAnsi="Arial" w:cs="Arial"/>
        </w:rPr>
        <w:t xml:space="preserve">In addition to the Risks, Strengths and Weaknesses consultation, on 31 January 2019 Ofwat published its assessment of the 2018 Company Monitoring Framework. </w:t>
      </w:r>
      <w:r w:rsidR="00CB667A" w:rsidRPr="00CB667A">
        <w:rPr>
          <w:rFonts w:ascii="Arial" w:hAnsi="Arial" w:cs="Arial"/>
        </w:rPr>
        <w:t xml:space="preserve"> </w:t>
      </w:r>
      <w:r w:rsidR="00F454FF" w:rsidRPr="00CB667A">
        <w:rPr>
          <w:rFonts w:ascii="Arial" w:hAnsi="Arial" w:cs="Arial"/>
        </w:rPr>
        <w:t>Companies are assessed by Ofwat into one of categories as follows:-</w:t>
      </w:r>
    </w:p>
    <w:p w:rsidR="00F454FF" w:rsidRPr="008F1A23" w:rsidRDefault="00F454FF" w:rsidP="00F454FF">
      <w:pPr>
        <w:spacing w:after="0"/>
        <w:ind w:left="720"/>
        <w:jc w:val="both"/>
        <w:rPr>
          <w:rFonts w:ascii="Arial" w:hAnsi="Arial" w:cs="Arial"/>
        </w:rPr>
      </w:pPr>
    </w:p>
    <w:p w:rsidR="00F454FF" w:rsidRPr="008F1A23" w:rsidRDefault="00F454FF" w:rsidP="00F454FF">
      <w:pPr>
        <w:pStyle w:val="ListParagraph"/>
        <w:numPr>
          <w:ilvl w:val="1"/>
          <w:numId w:val="10"/>
        </w:numPr>
        <w:spacing w:after="0" w:line="256" w:lineRule="auto"/>
        <w:ind w:left="1080"/>
        <w:jc w:val="both"/>
        <w:rPr>
          <w:rFonts w:ascii="Arial" w:hAnsi="Arial" w:cs="Arial"/>
        </w:rPr>
      </w:pPr>
      <w:r w:rsidRPr="008F1A23">
        <w:rPr>
          <w:rFonts w:ascii="Arial" w:hAnsi="Arial" w:cs="Arial"/>
        </w:rPr>
        <w:t>Self-assurance – a company uses its own discretion to provide assurance beyond the common assurance requirements</w:t>
      </w:r>
    </w:p>
    <w:p w:rsidR="00F454FF" w:rsidRPr="008F1A23" w:rsidRDefault="00F454FF" w:rsidP="00F454FF">
      <w:pPr>
        <w:pStyle w:val="ListParagraph"/>
        <w:numPr>
          <w:ilvl w:val="1"/>
          <w:numId w:val="10"/>
        </w:numPr>
        <w:spacing w:after="0" w:line="256" w:lineRule="auto"/>
        <w:ind w:left="1080"/>
        <w:jc w:val="both"/>
        <w:rPr>
          <w:rFonts w:ascii="Arial" w:hAnsi="Arial" w:cs="Arial"/>
        </w:rPr>
      </w:pPr>
      <w:r w:rsidRPr="008F1A23">
        <w:rPr>
          <w:rFonts w:ascii="Arial" w:hAnsi="Arial" w:cs="Arial"/>
        </w:rPr>
        <w:t xml:space="preserve">Targeted assurance – a company loses discretion on some areas of assurance beyond the common assurance requirements; and </w:t>
      </w:r>
    </w:p>
    <w:p w:rsidR="00F454FF" w:rsidRPr="008F1A23" w:rsidRDefault="00F454FF" w:rsidP="00F454FF">
      <w:pPr>
        <w:pStyle w:val="ListParagraph"/>
        <w:numPr>
          <w:ilvl w:val="1"/>
          <w:numId w:val="10"/>
        </w:numPr>
        <w:spacing w:after="0" w:line="256" w:lineRule="auto"/>
        <w:ind w:left="1080"/>
        <w:jc w:val="both"/>
        <w:rPr>
          <w:rFonts w:ascii="Arial" w:hAnsi="Arial" w:cs="Arial"/>
        </w:rPr>
      </w:pPr>
      <w:r w:rsidRPr="008F1A23">
        <w:rPr>
          <w:rFonts w:ascii="Arial" w:hAnsi="Arial" w:cs="Arial"/>
        </w:rPr>
        <w:t>Prescribed assurance – a company loses discretion on many areas of assurance beyond the common assurance requirements.</w:t>
      </w:r>
    </w:p>
    <w:p w:rsidR="00F454FF" w:rsidRPr="008F1A23" w:rsidRDefault="00F454FF" w:rsidP="00F454FF">
      <w:pPr>
        <w:spacing w:after="0"/>
        <w:ind w:left="360"/>
        <w:jc w:val="both"/>
        <w:rPr>
          <w:rFonts w:ascii="Arial" w:hAnsi="Arial" w:cs="Arial"/>
        </w:rPr>
      </w:pPr>
    </w:p>
    <w:p w:rsidR="00F454FF" w:rsidRDefault="00557777" w:rsidP="00CB667A">
      <w:pPr>
        <w:spacing w:after="0"/>
        <w:ind w:left="720" w:hanging="720"/>
        <w:jc w:val="both"/>
        <w:rPr>
          <w:rFonts w:ascii="Arial" w:hAnsi="Arial" w:cs="Arial"/>
        </w:rPr>
      </w:pPr>
      <w:r>
        <w:rPr>
          <w:rFonts w:ascii="Arial" w:hAnsi="Arial" w:cs="Arial"/>
        </w:rPr>
        <w:t>4</w:t>
      </w:r>
      <w:r w:rsidR="00CB667A">
        <w:rPr>
          <w:rFonts w:ascii="Arial" w:hAnsi="Arial" w:cs="Arial"/>
        </w:rPr>
        <w:t>.5</w:t>
      </w:r>
      <w:r w:rsidR="00CB667A">
        <w:rPr>
          <w:rFonts w:ascii="Arial" w:hAnsi="Arial" w:cs="Arial"/>
        </w:rPr>
        <w:tab/>
      </w:r>
      <w:r w:rsidR="00F454FF" w:rsidRPr="008F1A23">
        <w:rPr>
          <w:rFonts w:ascii="Arial" w:hAnsi="Arial" w:cs="Arial"/>
        </w:rPr>
        <w:t xml:space="preserve">In </w:t>
      </w:r>
      <w:r w:rsidR="00F454FF">
        <w:rPr>
          <w:rFonts w:ascii="Arial" w:hAnsi="Arial" w:cs="Arial"/>
        </w:rPr>
        <w:t>January</w:t>
      </w:r>
      <w:r w:rsidR="00F454FF" w:rsidRPr="008F1A23">
        <w:rPr>
          <w:rFonts w:ascii="Arial" w:hAnsi="Arial" w:cs="Arial"/>
        </w:rPr>
        <w:t xml:space="preserve"> </w:t>
      </w:r>
      <w:r w:rsidR="00F454FF">
        <w:rPr>
          <w:rFonts w:ascii="Arial" w:hAnsi="Arial" w:cs="Arial"/>
        </w:rPr>
        <w:t>2019</w:t>
      </w:r>
      <w:r w:rsidR="00F454FF" w:rsidRPr="008F1A23">
        <w:rPr>
          <w:rFonts w:ascii="Arial" w:hAnsi="Arial" w:cs="Arial"/>
        </w:rPr>
        <w:t xml:space="preserve"> we were assessed as “Targeted.”  </w:t>
      </w:r>
      <w:r w:rsidR="00F454FF">
        <w:rPr>
          <w:rFonts w:ascii="Arial" w:hAnsi="Arial" w:cs="Arial"/>
        </w:rPr>
        <w:t>The categorisation has remained the same since 2015</w:t>
      </w:r>
      <w:r w:rsidR="00F454FF" w:rsidRPr="008F1A23">
        <w:rPr>
          <w:rFonts w:ascii="Arial" w:hAnsi="Arial" w:cs="Arial"/>
        </w:rPr>
        <w:t xml:space="preserve">. </w:t>
      </w:r>
      <w:r w:rsidR="00F454FF">
        <w:rPr>
          <w:rFonts w:ascii="Arial" w:hAnsi="Arial" w:cs="Arial"/>
        </w:rPr>
        <w:t xml:space="preserve">  The table shows the classification of the 13 assessment areas made in the year by Ofwat.</w:t>
      </w:r>
    </w:p>
    <w:p w:rsidR="00F454FF" w:rsidRDefault="00F454FF" w:rsidP="00F454FF">
      <w:pPr>
        <w:spacing w:after="0"/>
        <w:ind w:left="720"/>
        <w:jc w:val="both"/>
        <w:rPr>
          <w:rFonts w:ascii="Arial" w:hAnsi="Arial" w:cs="Arial"/>
        </w:rPr>
      </w:pPr>
    </w:p>
    <w:tbl>
      <w:tblPr>
        <w:tblStyle w:val="TableGrid"/>
        <w:tblW w:w="8683" w:type="dxa"/>
        <w:tblInd w:w="720" w:type="dxa"/>
        <w:tblLook w:val="04A0" w:firstRow="1" w:lastRow="0" w:firstColumn="1" w:lastColumn="0" w:noHBand="0" w:noVBand="1"/>
      </w:tblPr>
      <w:tblGrid>
        <w:gridCol w:w="439"/>
        <w:gridCol w:w="5719"/>
        <w:gridCol w:w="2525"/>
      </w:tblGrid>
      <w:tr w:rsidR="00F454FF" w:rsidTr="005D7FE1">
        <w:trPr>
          <w:trHeight w:val="96"/>
        </w:trPr>
        <w:tc>
          <w:tcPr>
            <w:tcW w:w="434" w:type="dxa"/>
            <w:tcBorders>
              <w:top w:val="single" w:sz="4" w:space="0" w:color="auto"/>
              <w:left w:val="single" w:sz="4" w:space="0" w:color="auto"/>
              <w:bottom w:val="single" w:sz="4" w:space="0" w:color="auto"/>
              <w:right w:val="single" w:sz="4" w:space="0" w:color="auto"/>
            </w:tcBorders>
          </w:tcPr>
          <w:p w:rsidR="00F454FF" w:rsidRPr="00EB7B9F" w:rsidRDefault="00F454FF" w:rsidP="00F454FF">
            <w:pPr>
              <w:spacing w:before="60" w:after="60"/>
              <w:jc w:val="both"/>
              <w:rPr>
                <w:rFonts w:ascii="Arial" w:hAnsi="Arial" w:cs="Arial"/>
                <w:sz w:val="20"/>
                <w:szCs w:val="20"/>
              </w:rPr>
            </w:pPr>
          </w:p>
        </w:tc>
        <w:tc>
          <w:tcPr>
            <w:tcW w:w="5723" w:type="dxa"/>
            <w:tcBorders>
              <w:top w:val="single" w:sz="4" w:space="0" w:color="auto"/>
              <w:left w:val="single" w:sz="4" w:space="0" w:color="auto"/>
              <w:bottom w:val="single" w:sz="4" w:space="0" w:color="auto"/>
              <w:right w:val="single" w:sz="4" w:space="0" w:color="auto"/>
            </w:tcBorders>
            <w:hideMark/>
          </w:tcPr>
          <w:p w:rsidR="00F454FF" w:rsidRPr="00603D19" w:rsidRDefault="00F454FF" w:rsidP="00F454FF">
            <w:pPr>
              <w:spacing w:before="60" w:after="60"/>
              <w:jc w:val="both"/>
              <w:rPr>
                <w:rFonts w:ascii="Arial" w:hAnsi="Arial" w:cs="Arial"/>
                <w:b/>
                <w:sz w:val="20"/>
                <w:szCs w:val="20"/>
              </w:rPr>
            </w:pPr>
            <w:r>
              <w:rPr>
                <w:rFonts w:ascii="Arial" w:hAnsi="Arial" w:cs="Arial"/>
                <w:b/>
                <w:sz w:val="20"/>
                <w:szCs w:val="20"/>
              </w:rPr>
              <w:t>Area</w:t>
            </w:r>
          </w:p>
        </w:tc>
        <w:tc>
          <w:tcPr>
            <w:tcW w:w="2526" w:type="dxa"/>
            <w:tcBorders>
              <w:top w:val="single" w:sz="4" w:space="0" w:color="auto"/>
              <w:left w:val="single" w:sz="4" w:space="0" w:color="auto"/>
              <w:bottom w:val="single" w:sz="4" w:space="0" w:color="auto"/>
              <w:right w:val="single" w:sz="4" w:space="0" w:color="auto"/>
            </w:tcBorders>
            <w:hideMark/>
          </w:tcPr>
          <w:p w:rsidR="00F454FF" w:rsidRPr="00603D19" w:rsidRDefault="00F454FF" w:rsidP="00F454FF">
            <w:pPr>
              <w:spacing w:before="60" w:after="60"/>
              <w:jc w:val="both"/>
              <w:rPr>
                <w:rFonts w:ascii="Arial" w:hAnsi="Arial" w:cs="Arial"/>
                <w:b/>
                <w:sz w:val="20"/>
                <w:szCs w:val="20"/>
              </w:rPr>
            </w:pPr>
            <w:r w:rsidRPr="00603D19">
              <w:rPr>
                <w:rFonts w:ascii="Arial" w:hAnsi="Arial" w:cs="Arial"/>
                <w:b/>
                <w:sz w:val="20"/>
                <w:szCs w:val="20"/>
              </w:rPr>
              <w:t>Assessment</w:t>
            </w:r>
          </w:p>
        </w:tc>
      </w:tr>
      <w:tr w:rsidR="00F454FF" w:rsidTr="005D7FE1">
        <w:trPr>
          <w:trHeight w:val="81"/>
        </w:trPr>
        <w:tc>
          <w:tcPr>
            <w:tcW w:w="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Pr="00EB7B9F" w:rsidRDefault="00F454FF" w:rsidP="00F454FF">
            <w:pPr>
              <w:autoSpaceDE w:val="0"/>
              <w:autoSpaceDN w:val="0"/>
              <w:adjustRightInd w:val="0"/>
              <w:spacing w:before="60" w:after="60"/>
              <w:rPr>
                <w:rFonts w:ascii="Arial" w:hAnsi="Arial" w:cs="Arial"/>
                <w:color w:val="000000"/>
                <w:sz w:val="20"/>
                <w:szCs w:val="20"/>
              </w:rPr>
            </w:pPr>
            <w:r w:rsidRPr="00EB7B9F">
              <w:rPr>
                <w:rFonts w:ascii="Arial" w:hAnsi="Arial" w:cs="Arial"/>
                <w:color w:val="000000"/>
                <w:sz w:val="20"/>
                <w:szCs w:val="20"/>
              </w:rPr>
              <w:t>1</w:t>
            </w:r>
          </w:p>
        </w:tc>
        <w:tc>
          <w:tcPr>
            <w:tcW w:w="572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454FF" w:rsidRPr="00EB7B9F" w:rsidRDefault="00F454FF" w:rsidP="00F454FF">
            <w:pPr>
              <w:autoSpaceDE w:val="0"/>
              <w:autoSpaceDN w:val="0"/>
              <w:adjustRightInd w:val="0"/>
              <w:spacing w:before="60" w:after="60"/>
              <w:rPr>
                <w:rFonts w:ascii="Arial" w:hAnsi="Arial" w:cs="Arial"/>
                <w:color w:val="000000"/>
                <w:sz w:val="20"/>
                <w:szCs w:val="20"/>
              </w:rPr>
            </w:pPr>
            <w:r w:rsidRPr="00EB7B9F">
              <w:rPr>
                <w:rFonts w:ascii="Arial" w:hAnsi="Arial" w:cs="Arial"/>
                <w:color w:val="000000"/>
                <w:sz w:val="20"/>
                <w:szCs w:val="20"/>
              </w:rPr>
              <w:t>Financial monitoring framework</w:t>
            </w:r>
          </w:p>
        </w:tc>
        <w:tc>
          <w:tcPr>
            <w:tcW w:w="25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454FF" w:rsidRPr="00A94018" w:rsidRDefault="00F454FF" w:rsidP="00F454FF">
            <w:pPr>
              <w:spacing w:before="60" w:after="60"/>
              <w:jc w:val="both"/>
              <w:rPr>
                <w:rFonts w:ascii="Arial" w:hAnsi="Arial" w:cs="Arial"/>
                <w:color w:val="000000"/>
                <w:sz w:val="20"/>
                <w:szCs w:val="20"/>
              </w:rPr>
            </w:pPr>
            <w:r w:rsidRPr="00EB7B9F">
              <w:rPr>
                <w:rFonts w:ascii="Arial" w:hAnsi="Arial" w:cs="Arial"/>
                <w:color w:val="000000"/>
                <w:sz w:val="20"/>
                <w:szCs w:val="20"/>
              </w:rPr>
              <w:t>Meets expectations</w:t>
            </w:r>
          </w:p>
        </w:tc>
      </w:tr>
      <w:tr w:rsidR="00F454FF" w:rsidTr="005D7FE1">
        <w:trPr>
          <w:trHeight w:val="67"/>
        </w:trPr>
        <w:tc>
          <w:tcPr>
            <w:tcW w:w="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Pr="00EB7B9F" w:rsidRDefault="00F454FF" w:rsidP="00F454FF">
            <w:pPr>
              <w:spacing w:before="60" w:after="60"/>
              <w:jc w:val="both"/>
              <w:rPr>
                <w:rFonts w:ascii="Arial" w:hAnsi="Arial" w:cs="Arial"/>
                <w:color w:val="000000"/>
                <w:sz w:val="20"/>
                <w:szCs w:val="20"/>
              </w:rPr>
            </w:pPr>
            <w:r w:rsidRPr="00EB7B9F">
              <w:rPr>
                <w:rFonts w:ascii="Arial" w:hAnsi="Arial" w:cs="Arial"/>
                <w:color w:val="000000"/>
                <w:sz w:val="20"/>
                <w:szCs w:val="20"/>
              </w:rPr>
              <w:t>2</w:t>
            </w:r>
          </w:p>
        </w:tc>
        <w:tc>
          <w:tcPr>
            <w:tcW w:w="572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454FF" w:rsidRPr="00EB7B9F" w:rsidRDefault="00F454FF" w:rsidP="00F454FF">
            <w:pPr>
              <w:spacing w:before="60" w:after="60"/>
              <w:jc w:val="both"/>
              <w:rPr>
                <w:rFonts w:ascii="Arial" w:hAnsi="Arial" w:cs="Arial"/>
                <w:sz w:val="20"/>
                <w:szCs w:val="20"/>
              </w:rPr>
            </w:pPr>
            <w:r w:rsidRPr="00EB7B9F">
              <w:rPr>
                <w:rFonts w:ascii="Arial" w:hAnsi="Arial" w:cs="Arial"/>
                <w:color w:val="000000"/>
                <w:sz w:val="20"/>
                <w:szCs w:val="20"/>
              </w:rPr>
              <w:t xml:space="preserve">Charges </w:t>
            </w:r>
            <w:r>
              <w:rPr>
                <w:rFonts w:ascii="Arial" w:hAnsi="Arial" w:cs="Arial"/>
                <w:color w:val="000000"/>
                <w:sz w:val="20"/>
                <w:szCs w:val="20"/>
              </w:rPr>
              <w:t xml:space="preserve">engagement </w:t>
            </w:r>
          </w:p>
        </w:tc>
        <w:tc>
          <w:tcPr>
            <w:tcW w:w="25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454FF" w:rsidRPr="00A94018" w:rsidRDefault="00F454FF" w:rsidP="00F454FF">
            <w:pPr>
              <w:spacing w:before="60" w:after="60"/>
              <w:jc w:val="both"/>
              <w:rPr>
                <w:rFonts w:ascii="Arial" w:hAnsi="Arial" w:cs="Arial"/>
                <w:color w:val="000000"/>
                <w:sz w:val="20"/>
                <w:szCs w:val="20"/>
              </w:rPr>
            </w:pPr>
            <w:r w:rsidRPr="00EB7B9F">
              <w:rPr>
                <w:rFonts w:ascii="Arial" w:hAnsi="Arial" w:cs="Arial"/>
                <w:color w:val="000000"/>
                <w:sz w:val="20"/>
                <w:szCs w:val="20"/>
              </w:rPr>
              <w:t>Meets expectations</w:t>
            </w:r>
          </w:p>
        </w:tc>
      </w:tr>
      <w:tr w:rsidR="00F454FF" w:rsidTr="005D7FE1">
        <w:trPr>
          <w:trHeight w:val="96"/>
        </w:trPr>
        <w:tc>
          <w:tcPr>
            <w:tcW w:w="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Pr="00EB7B9F" w:rsidRDefault="00F454FF" w:rsidP="00F454FF">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3</w:t>
            </w:r>
          </w:p>
        </w:tc>
        <w:tc>
          <w:tcPr>
            <w:tcW w:w="572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Pr="00EB7B9F" w:rsidRDefault="00F454FF" w:rsidP="00F454FF">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Outcomes</w:t>
            </w:r>
          </w:p>
        </w:tc>
        <w:tc>
          <w:tcPr>
            <w:tcW w:w="252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Pr="00EB7B9F" w:rsidRDefault="00F454FF" w:rsidP="00F454FF">
            <w:pPr>
              <w:spacing w:before="60" w:after="60"/>
              <w:jc w:val="both"/>
              <w:rPr>
                <w:rFonts w:ascii="Arial" w:hAnsi="Arial" w:cs="Arial"/>
                <w:color w:val="000000"/>
                <w:sz w:val="20"/>
                <w:szCs w:val="20"/>
              </w:rPr>
            </w:pPr>
            <w:r w:rsidRPr="00EB7B9F">
              <w:rPr>
                <w:rFonts w:ascii="Arial" w:hAnsi="Arial" w:cs="Arial"/>
                <w:color w:val="000000"/>
                <w:sz w:val="20"/>
                <w:szCs w:val="20"/>
              </w:rPr>
              <w:t>Meets expectations</w:t>
            </w:r>
          </w:p>
        </w:tc>
      </w:tr>
      <w:tr w:rsidR="00F454FF" w:rsidTr="005D7FE1">
        <w:trPr>
          <w:trHeight w:val="96"/>
        </w:trPr>
        <w:tc>
          <w:tcPr>
            <w:tcW w:w="4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454FF" w:rsidRPr="00EB7B9F" w:rsidRDefault="00F454FF" w:rsidP="00F454FF">
            <w:pPr>
              <w:spacing w:before="60" w:after="60"/>
              <w:jc w:val="both"/>
              <w:rPr>
                <w:rFonts w:ascii="Arial" w:hAnsi="Arial" w:cs="Arial"/>
                <w:color w:val="000000"/>
                <w:sz w:val="20"/>
                <w:szCs w:val="20"/>
              </w:rPr>
            </w:pPr>
            <w:r>
              <w:rPr>
                <w:rFonts w:ascii="Arial" w:hAnsi="Arial" w:cs="Arial"/>
                <w:color w:val="000000"/>
                <w:sz w:val="20"/>
                <w:szCs w:val="20"/>
              </w:rPr>
              <w:t>4</w:t>
            </w:r>
          </w:p>
        </w:tc>
        <w:tc>
          <w:tcPr>
            <w:tcW w:w="57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F454FF" w:rsidRPr="00EB7B9F" w:rsidRDefault="00F454FF" w:rsidP="00F454FF">
            <w:pPr>
              <w:spacing w:before="60" w:after="60"/>
              <w:jc w:val="both"/>
              <w:rPr>
                <w:rFonts w:ascii="Arial" w:hAnsi="Arial" w:cs="Arial"/>
                <w:sz w:val="20"/>
                <w:szCs w:val="20"/>
              </w:rPr>
            </w:pPr>
            <w:r w:rsidRPr="00917708">
              <w:rPr>
                <w:rFonts w:ascii="Arial" w:hAnsi="Arial" w:cs="Arial"/>
                <w:color w:val="000000"/>
                <w:sz w:val="20"/>
                <w:szCs w:val="20"/>
              </w:rPr>
              <w:t>Water resources management plan and market information</w:t>
            </w:r>
          </w:p>
        </w:tc>
        <w:tc>
          <w:tcPr>
            <w:tcW w:w="252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F454FF" w:rsidRPr="00A94018" w:rsidRDefault="00F454FF" w:rsidP="00F454FF">
            <w:pPr>
              <w:spacing w:before="60" w:after="60"/>
              <w:jc w:val="both"/>
              <w:rPr>
                <w:rFonts w:ascii="Arial" w:hAnsi="Arial" w:cs="Arial"/>
                <w:color w:val="000000"/>
                <w:sz w:val="20"/>
                <w:szCs w:val="20"/>
              </w:rPr>
            </w:pPr>
            <w:r w:rsidRPr="00EB7B9F">
              <w:rPr>
                <w:rFonts w:ascii="Arial" w:hAnsi="Arial" w:cs="Arial"/>
                <w:color w:val="000000"/>
                <w:sz w:val="20"/>
                <w:szCs w:val="20"/>
              </w:rPr>
              <w:t>Minor concerns</w:t>
            </w:r>
          </w:p>
        </w:tc>
      </w:tr>
      <w:tr w:rsidR="00F454FF" w:rsidTr="005D7FE1">
        <w:trPr>
          <w:trHeight w:val="96"/>
        </w:trPr>
        <w:tc>
          <w:tcPr>
            <w:tcW w:w="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Pr="00EB7B9F" w:rsidRDefault="00F454FF" w:rsidP="00F454FF">
            <w:pPr>
              <w:spacing w:before="60" w:after="60"/>
              <w:jc w:val="both"/>
              <w:rPr>
                <w:rFonts w:ascii="Arial" w:hAnsi="Arial" w:cs="Arial"/>
                <w:color w:val="000000"/>
                <w:sz w:val="20"/>
                <w:szCs w:val="20"/>
              </w:rPr>
            </w:pPr>
            <w:r>
              <w:rPr>
                <w:rFonts w:ascii="Arial" w:hAnsi="Arial" w:cs="Arial"/>
                <w:color w:val="000000"/>
                <w:sz w:val="20"/>
                <w:szCs w:val="20"/>
              </w:rPr>
              <w:t>5</w:t>
            </w:r>
          </w:p>
        </w:tc>
        <w:tc>
          <w:tcPr>
            <w:tcW w:w="572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454FF" w:rsidRPr="00EB7B9F" w:rsidRDefault="00F454FF" w:rsidP="00F454FF">
            <w:pPr>
              <w:spacing w:before="60" w:after="60"/>
              <w:jc w:val="both"/>
              <w:rPr>
                <w:rFonts w:ascii="Arial" w:hAnsi="Arial" w:cs="Arial"/>
                <w:sz w:val="20"/>
                <w:szCs w:val="20"/>
              </w:rPr>
            </w:pPr>
            <w:r w:rsidRPr="00917708">
              <w:rPr>
                <w:rFonts w:ascii="Arial" w:hAnsi="Arial" w:cs="Arial"/>
                <w:color w:val="000000"/>
                <w:sz w:val="20"/>
                <w:szCs w:val="20"/>
              </w:rPr>
              <w:t>Long-term Viability Statement</w:t>
            </w:r>
          </w:p>
        </w:tc>
        <w:tc>
          <w:tcPr>
            <w:tcW w:w="25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454FF" w:rsidRPr="00A94018" w:rsidRDefault="00F454FF" w:rsidP="00F454FF">
            <w:pPr>
              <w:spacing w:before="60" w:after="60"/>
              <w:jc w:val="both"/>
              <w:rPr>
                <w:rFonts w:ascii="Arial" w:hAnsi="Arial" w:cs="Arial"/>
                <w:color w:val="000000"/>
                <w:sz w:val="20"/>
                <w:szCs w:val="20"/>
              </w:rPr>
            </w:pPr>
            <w:r w:rsidRPr="00EB7B9F">
              <w:rPr>
                <w:rFonts w:ascii="Arial" w:hAnsi="Arial" w:cs="Arial"/>
                <w:color w:val="000000"/>
                <w:sz w:val="20"/>
                <w:szCs w:val="20"/>
              </w:rPr>
              <w:t>Meets expectations</w:t>
            </w:r>
          </w:p>
        </w:tc>
      </w:tr>
      <w:tr w:rsidR="00F454FF" w:rsidTr="005D7FE1">
        <w:trPr>
          <w:trHeight w:val="96"/>
        </w:trPr>
        <w:tc>
          <w:tcPr>
            <w:tcW w:w="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Pr="00EB7B9F" w:rsidRDefault="00F454FF" w:rsidP="00F454FF">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6</w:t>
            </w:r>
          </w:p>
        </w:tc>
        <w:tc>
          <w:tcPr>
            <w:tcW w:w="572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454FF" w:rsidRPr="00EB7B9F" w:rsidRDefault="00F454FF" w:rsidP="00F454FF">
            <w:pPr>
              <w:autoSpaceDE w:val="0"/>
              <w:autoSpaceDN w:val="0"/>
              <w:adjustRightInd w:val="0"/>
              <w:spacing w:before="60" w:after="60"/>
              <w:rPr>
                <w:rFonts w:ascii="Arial" w:hAnsi="Arial" w:cs="Arial"/>
                <w:color w:val="000000"/>
                <w:sz w:val="20"/>
                <w:szCs w:val="20"/>
              </w:rPr>
            </w:pPr>
            <w:r w:rsidRPr="00917708">
              <w:rPr>
                <w:rFonts w:ascii="Arial" w:hAnsi="Arial" w:cs="Arial"/>
                <w:color w:val="000000"/>
                <w:sz w:val="20"/>
                <w:szCs w:val="20"/>
              </w:rPr>
              <w:t>Financial Flows</w:t>
            </w:r>
          </w:p>
        </w:tc>
        <w:tc>
          <w:tcPr>
            <w:tcW w:w="25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454FF" w:rsidRPr="00A94018" w:rsidRDefault="00F454FF" w:rsidP="00F454FF">
            <w:pPr>
              <w:spacing w:before="60" w:after="60"/>
              <w:jc w:val="both"/>
              <w:rPr>
                <w:rFonts w:ascii="Arial" w:hAnsi="Arial" w:cs="Arial"/>
                <w:color w:val="000000"/>
                <w:sz w:val="20"/>
                <w:szCs w:val="20"/>
              </w:rPr>
            </w:pPr>
            <w:r w:rsidRPr="00EB7B9F">
              <w:rPr>
                <w:rFonts w:ascii="Arial" w:hAnsi="Arial" w:cs="Arial"/>
                <w:color w:val="000000"/>
                <w:sz w:val="20"/>
                <w:szCs w:val="20"/>
              </w:rPr>
              <w:t>Meets expectations</w:t>
            </w:r>
          </w:p>
        </w:tc>
      </w:tr>
      <w:tr w:rsidR="00F454FF" w:rsidTr="005D7FE1">
        <w:trPr>
          <w:trHeight w:val="96"/>
        </w:trPr>
        <w:tc>
          <w:tcPr>
            <w:tcW w:w="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Pr="00EB7B9F" w:rsidRDefault="00F454FF" w:rsidP="00F454FF">
            <w:pPr>
              <w:spacing w:before="60" w:after="60"/>
              <w:jc w:val="both"/>
              <w:rPr>
                <w:rFonts w:ascii="Arial" w:hAnsi="Arial" w:cs="Arial"/>
                <w:color w:val="000000"/>
                <w:sz w:val="20"/>
                <w:szCs w:val="20"/>
              </w:rPr>
            </w:pPr>
            <w:r>
              <w:rPr>
                <w:rFonts w:ascii="Arial" w:hAnsi="Arial" w:cs="Arial"/>
                <w:color w:val="000000"/>
                <w:sz w:val="20"/>
                <w:szCs w:val="20"/>
              </w:rPr>
              <w:t>7</w:t>
            </w:r>
          </w:p>
        </w:tc>
        <w:tc>
          <w:tcPr>
            <w:tcW w:w="572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454FF" w:rsidRPr="00EB7B9F" w:rsidRDefault="00F454FF" w:rsidP="00F454FF">
            <w:pPr>
              <w:spacing w:before="60" w:after="60"/>
              <w:jc w:val="both"/>
              <w:rPr>
                <w:rFonts w:ascii="Arial" w:hAnsi="Arial" w:cs="Arial"/>
                <w:sz w:val="20"/>
                <w:szCs w:val="20"/>
              </w:rPr>
            </w:pPr>
            <w:r w:rsidRPr="00917708">
              <w:rPr>
                <w:rFonts w:ascii="Arial" w:hAnsi="Arial" w:cs="Arial"/>
                <w:sz w:val="20"/>
                <w:szCs w:val="20"/>
              </w:rPr>
              <w:t>Risk &amp; compliance statement</w:t>
            </w:r>
          </w:p>
        </w:tc>
        <w:tc>
          <w:tcPr>
            <w:tcW w:w="25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454FF" w:rsidRPr="00A94018" w:rsidRDefault="00F454FF" w:rsidP="00F454FF">
            <w:pPr>
              <w:spacing w:before="60" w:after="60"/>
              <w:jc w:val="both"/>
              <w:rPr>
                <w:rFonts w:ascii="Arial" w:hAnsi="Arial" w:cs="Arial"/>
                <w:color w:val="000000"/>
                <w:sz w:val="20"/>
                <w:szCs w:val="20"/>
              </w:rPr>
            </w:pPr>
            <w:r w:rsidRPr="00EB7B9F">
              <w:rPr>
                <w:rFonts w:ascii="Arial" w:hAnsi="Arial" w:cs="Arial"/>
                <w:color w:val="000000"/>
                <w:sz w:val="20"/>
                <w:szCs w:val="20"/>
              </w:rPr>
              <w:t>Meets expectations</w:t>
            </w:r>
          </w:p>
        </w:tc>
      </w:tr>
      <w:tr w:rsidR="00F454FF" w:rsidTr="005D7FE1">
        <w:trPr>
          <w:trHeight w:val="100"/>
        </w:trPr>
        <w:tc>
          <w:tcPr>
            <w:tcW w:w="4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F454FF" w:rsidRPr="00EB7B9F" w:rsidRDefault="00F454FF" w:rsidP="00F454FF">
            <w:pPr>
              <w:spacing w:before="60" w:after="60"/>
              <w:jc w:val="both"/>
              <w:rPr>
                <w:rFonts w:ascii="Arial" w:hAnsi="Arial" w:cs="Arial"/>
                <w:color w:val="000000"/>
                <w:sz w:val="20"/>
                <w:szCs w:val="20"/>
              </w:rPr>
            </w:pPr>
            <w:r>
              <w:rPr>
                <w:rFonts w:ascii="Arial" w:hAnsi="Arial" w:cs="Arial"/>
                <w:color w:val="000000"/>
                <w:sz w:val="20"/>
                <w:szCs w:val="20"/>
              </w:rPr>
              <w:t>8</w:t>
            </w:r>
          </w:p>
        </w:tc>
        <w:tc>
          <w:tcPr>
            <w:tcW w:w="572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F454FF" w:rsidRPr="00EB7B9F" w:rsidRDefault="00F454FF" w:rsidP="00F454FF">
            <w:pPr>
              <w:spacing w:before="60" w:after="60"/>
              <w:jc w:val="both"/>
              <w:rPr>
                <w:rFonts w:ascii="Arial" w:hAnsi="Arial" w:cs="Arial"/>
                <w:sz w:val="20"/>
                <w:szCs w:val="20"/>
              </w:rPr>
            </w:pPr>
            <w:r w:rsidRPr="00917708">
              <w:rPr>
                <w:rFonts w:ascii="Arial" w:hAnsi="Arial" w:cs="Arial"/>
                <w:color w:val="000000"/>
                <w:sz w:val="20"/>
                <w:szCs w:val="20"/>
              </w:rPr>
              <w:t>Assurance plan</w:t>
            </w:r>
          </w:p>
        </w:tc>
        <w:tc>
          <w:tcPr>
            <w:tcW w:w="252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F454FF" w:rsidRPr="00EB7B9F" w:rsidRDefault="00F454FF" w:rsidP="00F454FF">
            <w:pPr>
              <w:spacing w:before="60" w:after="60"/>
              <w:jc w:val="both"/>
              <w:rPr>
                <w:rFonts w:ascii="Arial" w:hAnsi="Arial" w:cs="Arial"/>
                <w:sz w:val="20"/>
                <w:szCs w:val="20"/>
              </w:rPr>
            </w:pPr>
            <w:r>
              <w:rPr>
                <w:rFonts w:ascii="Arial" w:hAnsi="Arial" w:cs="Arial"/>
                <w:color w:val="000000"/>
                <w:sz w:val="20"/>
                <w:szCs w:val="20"/>
              </w:rPr>
              <w:t>M</w:t>
            </w:r>
            <w:r w:rsidRPr="00917708">
              <w:rPr>
                <w:rFonts w:ascii="Arial" w:hAnsi="Arial" w:cs="Arial"/>
                <w:color w:val="000000"/>
                <w:sz w:val="20"/>
                <w:szCs w:val="20"/>
              </w:rPr>
              <w:t>inor concerns</w:t>
            </w:r>
          </w:p>
        </w:tc>
      </w:tr>
      <w:tr w:rsidR="00F454FF" w:rsidTr="005D7FE1">
        <w:trPr>
          <w:trHeight w:val="100"/>
        </w:trPr>
        <w:tc>
          <w:tcPr>
            <w:tcW w:w="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Default="00F454FF" w:rsidP="00F454FF">
            <w:pPr>
              <w:spacing w:before="60" w:after="60"/>
              <w:jc w:val="both"/>
              <w:rPr>
                <w:rFonts w:ascii="Arial" w:hAnsi="Arial" w:cs="Arial"/>
                <w:color w:val="000000"/>
                <w:sz w:val="20"/>
                <w:szCs w:val="20"/>
              </w:rPr>
            </w:pPr>
            <w:r>
              <w:rPr>
                <w:rFonts w:ascii="Arial" w:hAnsi="Arial" w:cs="Arial"/>
                <w:color w:val="000000"/>
                <w:sz w:val="20"/>
                <w:szCs w:val="20"/>
              </w:rPr>
              <w:t>9</w:t>
            </w:r>
          </w:p>
        </w:tc>
        <w:tc>
          <w:tcPr>
            <w:tcW w:w="572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Pr="00EB7B9F" w:rsidRDefault="00F454FF" w:rsidP="00F454FF">
            <w:pPr>
              <w:spacing w:before="60" w:after="60"/>
              <w:jc w:val="both"/>
              <w:rPr>
                <w:rFonts w:ascii="Arial" w:hAnsi="Arial" w:cs="Arial"/>
                <w:color w:val="000000"/>
                <w:sz w:val="20"/>
                <w:szCs w:val="20"/>
              </w:rPr>
            </w:pPr>
            <w:r w:rsidRPr="00917708">
              <w:rPr>
                <w:rFonts w:ascii="Arial" w:hAnsi="Arial" w:cs="Arial"/>
                <w:color w:val="000000"/>
                <w:sz w:val="20"/>
                <w:szCs w:val="20"/>
              </w:rPr>
              <w:t>Cost assessment</w:t>
            </w:r>
          </w:p>
        </w:tc>
        <w:tc>
          <w:tcPr>
            <w:tcW w:w="252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Pr="00EB7B9F" w:rsidRDefault="00F454FF" w:rsidP="00F454FF">
            <w:pPr>
              <w:spacing w:before="60" w:after="60"/>
              <w:jc w:val="both"/>
              <w:rPr>
                <w:rFonts w:ascii="Arial" w:hAnsi="Arial" w:cs="Arial"/>
                <w:color w:val="000000"/>
                <w:sz w:val="20"/>
                <w:szCs w:val="20"/>
              </w:rPr>
            </w:pPr>
            <w:r w:rsidRPr="00EB7B9F">
              <w:rPr>
                <w:rFonts w:ascii="Arial" w:hAnsi="Arial" w:cs="Arial"/>
                <w:color w:val="000000"/>
                <w:sz w:val="20"/>
                <w:szCs w:val="20"/>
              </w:rPr>
              <w:t>Meets expectations</w:t>
            </w:r>
          </w:p>
        </w:tc>
      </w:tr>
      <w:tr w:rsidR="00F454FF" w:rsidTr="005D7FE1">
        <w:trPr>
          <w:trHeight w:val="100"/>
        </w:trPr>
        <w:tc>
          <w:tcPr>
            <w:tcW w:w="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Default="00F454FF" w:rsidP="00F454FF">
            <w:pPr>
              <w:spacing w:before="60" w:after="60"/>
              <w:jc w:val="both"/>
              <w:rPr>
                <w:rFonts w:ascii="Arial" w:hAnsi="Arial" w:cs="Arial"/>
                <w:color w:val="000000"/>
                <w:sz w:val="20"/>
                <w:szCs w:val="20"/>
              </w:rPr>
            </w:pPr>
            <w:r>
              <w:rPr>
                <w:rFonts w:ascii="Arial" w:hAnsi="Arial" w:cs="Arial"/>
                <w:color w:val="000000"/>
                <w:sz w:val="20"/>
                <w:szCs w:val="20"/>
              </w:rPr>
              <w:t>10</w:t>
            </w:r>
          </w:p>
        </w:tc>
        <w:tc>
          <w:tcPr>
            <w:tcW w:w="572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Pr="00917708" w:rsidRDefault="00F454FF" w:rsidP="00F454FF">
            <w:pPr>
              <w:spacing w:before="60" w:after="60"/>
              <w:jc w:val="both"/>
              <w:rPr>
                <w:rFonts w:ascii="Arial" w:hAnsi="Arial" w:cs="Arial"/>
                <w:color w:val="000000"/>
                <w:sz w:val="20"/>
                <w:szCs w:val="20"/>
              </w:rPr>
            </w:pPr>
            <w:r w:rsidRPr="0082098A">
              <w:rPr>
                <w:rFonts w:ascii="Arial" w:hAnsi="Arial" w:cs="Arial"/>
                <w:color w:val="000000"/>
                <w:sz w:val="20"/>
                <w:szCs w:val="20"/>
              </w:rPr>
              <w:t>Casework</w:t>
            </w:r>
            <w:r>
              <w:rPr>
                <w:rFonts w:ascii="Arial" w:hAnsi="Arial" w:cs="Arial"/>
                <w:color w:val="000000"/>
                <w:sz w:val="20"/>
                <w:szCs w:val="20"/>
              </w:rPr>
              <w:t>*</w:t>
            </w:r>
          </w:p>
        </w:tc>
        <w:tc>
          <w:tcPr>
            <w:tcW w:w="252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Pr="00EB7B9F" w:rsidRDefault="00F454FF" w:rsidP="00F454FF">
            <w:pPr>
              <w:spacing w:before="60" w:after="60"/>
              <w:jc w:val="both"/>
              <w:rPr>
                <w:rFonts w:ascii="Arial" w:hAnsi="Arial" w:cs="Arial"/>
                <w:color w:val="000000"/>
                <w:sz w:val="20"/>
                <w:szCs w:val="20"/>
              </w:rPr>
            </w:pPr>
            <w:r>
              <w:rPr>
                <w:rFonts w:ascii="Arial" w:hAnsi="Arial" w:cs="Arial"/>
                <w:color w:val="000000"/>
                <w:sz w:val="20"/>
                <w:szCs w:val="20"/>
              </w:rPr>
              <w:t>N</w:t>
            </w:r>
            <w:r w:rsidRPr="0082098A">
              <w:rPr>
                <w:rFonts w:ascii="Arial" w:hAnsi="Arial" w:cs="Arial"/>
                <w:color w:val="000000"/>
                <w:sz w:val="20"/>
                <w:szCs w:val="20"/>
              </w:rPr>
              <w:t>ot applicable</w:t>
            </w:r>
          </w:p>
        </w:tc>
      </w:tr>
      <w:tr w:rsidR="00F454FF" w:rsidTr="005D7FE1">
        <w:trPr>
          <w:trHeight w:val="100"/>
        </w:trPr>
        <w:tc>
          <w:tcPr>
            <w:tcW w:w="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Default="00F454FF" w:rsidP="00F454FF">
            <w:pPr>
              <w:spacing w:before="60" w:after="60"/>
              <w:jc w:val="both"/>
              <w:rPr>
                <w:rFonts w:ascii="Arial" w:hAnsi="Arial" w:cs="Arial"/>
                <w:color w:val="000000"/>
                <w:sz w:val="20"/>
                <w:szCs w:val="20"/>
              </w:rPr>
            </w:pPr>
            <w:r>
              <w:rPr>
                <w:rFonts w:ascii="Arial" w:hAnsi="Arial" w:cs="Arial"/>
                <w:color w:val="000000"/>
                <w:sz w:val="20"/>
                <w:szCs w:val="20"/>
              </w:rPr>
              <w:t>11</w:t>
            </w:r>
          </w:p>
        </w:tc>
        <w:tc>
          <w:tcPr>
            <w:tcW w:w="572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Pr="0082098A" w:rsidRDefault="00F454FF" w:rsidP="00F454FF">
            <w:pPr>
              <w:spacing w:before="60" w:after="60"/>
              <w:jc w:val="both"/>
              <w:rPr>
                <w:rFonts w:ascii="Arial" w:hAnsi="Arial" w:cs="Arial"/>
                <w:color w:val="000000"/>
                <w:sz w:val="20"/>
                <w:szCs w:val="20"/>
              </w:rPr>
            </w:pPr>
            <w:r w:rsidRPr="0082098A">
              <w:rPr>
                <w:rFonts w:ascii="Arial" w:hAnsi="Arial" w:cs="Arial"/>
                <w:color w:val="000000"/>
                <w:sz w:val="20"/>
                <w:szCs w:val="20"/>
              </w:rPr>
              <w:t>PR19 Initial assessment of business plans – data</w:t>
            </w:r>
          </w:p>
          <w:p w:rsidR="00F454FF" w:rsidRPr="00917708" w:rsidRDefault="00F454FF" w:rsidP="00F454FF">
            <w:pPr>
              <w:spacing w:before="60" w:after="60"/>
              <w:jc w:val="both"/>
              <w:rPr>
                <w:rFonts w:ascii="Arial" w:hAnsi="Arial" w:cs="Arial"/>
                <w:color w:val="000000"/>
                <w:sz w:val="20"/>
                <w:szCs w:val="20"/>
              </w:rPr>
            </w:pPr>
            <w:r w:rsidRPr="0082098A">
              <w:rPr>
                <w:rFonts w:ascii="Arial" w:hAnsi="Arial" w:cs="Arial"/>
                <w:color w:val="000000"/>
                <w:sz w:val="20"/>
                <w:szCs w:val="20"/>
              </w:rPr>
              <w:t>Consistency</w:t>
            </w:r>
          </w:p>
        </w:tc>
        <w:tc>
          <w:tcPr>
            <w:tcW w:w="252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Pr="00EB7B9F" w:rsidRDefault="00F454FF" w:rsidP="00F454FF">
            <w:pPr>
              <w:spacing w:before="60" w:after="60"/>
              <w:jc w:val="both"/>
              <w:rPr>
                <w:rFonts w:ascii="Arial" w:hAnsi="Arial" w:cs="Arial"/>
                <w:color w:val="000000"/>
                <w:sz w:val="20"/>
                <w:szCs w:val="20"/>
              </w:rPr>
            </w:pPr>
            <w:r w:rsidRPr="00EB7B9F">
              <w:rPr>
                <w:rFonts w:ascii="Arial" w:hAnsi="Arial" w:cs="Arial"/>
                <w:color w:val="000000"/>
                <w:sz w:val="20"/>
                <w:szCs w:val="20"/>
              </w:rPr>
              <w:t>Meets expectations</w:t>
            </w:r>
          </w:p>
        </w:tc>
      </w:tr>
      <w:tr w:rsidR="00F454FF" w:rsidTr="005D7FE1">
        <w:trPr>
          <w:trHeight w:val="100"/>
        </w:trPr>
        <w:tc>
          <w:tcPr>
            <w:tcW w:w="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Default="00F454FF" w:rsidP="00F454FF">
            <w:pPr>
              <w:spacing w:before="60" w:after="60"/>
              <w:jc w:val="both"/>
              <w:rPr>
                <w:rFonts w:ascii="Arial" w:hAnsi="Arial" w:cs="Arial"/>
                <w:color w:val="000000"/>
                <w:sz w:val="20"/>
                <w:szCs w:val="20"/>
              </w:rPr>
            </w:pPr>
            <w:r>
              <w:rPr>
                <w:rFonts w:ascii="Arial" w:hAnsi="Arial" w:cs="Arial"/>
                <w:color w:val="000000"/>
                <w:sz w:val="20"/>
                <w:szCs w:val="20"/>
              </w:rPr>
              <w:t>12</w:t>
            </w:r>
          </w:p>
        </w:tc>
        <w:tc>
          <w:tcPr>
            <w:tcW w:w="572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Pr="00917708" w:rsidRDefault="00F454FF" w:rsidP="00F454FF">
            <w:pPr>
              <w:spacing w:before="60" w:after="60"/>
              <w:jc w:val="both"/>
              <w:rPr>
                <w:rFonts w:ascii="Arial" w:hAnsi="Arial" w:cs="Arial"/>
                <w:color w:val="000000"/>
                <w:sz w:val="20"/>
                <w:szCs w:val="20"/>
              </w:rPr>
            </w:pPr>
            <w:r w:rsidRPr="0082098A">
              <w:rPr>
                <w:rFonts w:ascii="Arial" w:hAnsi="Arial" w:cs="Arial"/>
                <w:color w:val="000000"/>
                <w:sz w:val="20"/>
                <w:szCs w:val="20"/>
              </w:rPr>
              <w:t>PR19 Initial assessment of business plans – data quality</w:t>
            </w:r>
          </w:p>
        </w:tc>
        <w:tc>
          <w:tcPr>
            <w:tcW w:w="252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Pr="00EB7B9F" w:rsidRDefault="00F454FF" w:rsidP="00F454FF">
            <w:pPr>
              <w:spacing w:before="60" w:after="60"/>
              <w:jc w:val="both"/>
              <w:rPr>
                <w:rFonts w:ascii="Arial" w:hAnsi="Arial" w:cs="Arial"/>
                <w:color w:val="000000"/>
                <w:sz w:val="20"/>
                <w:szCs w:val="20"/>
              </w:rPr>
            </w:pPr>
            <w:r w:rsidRPr="00EB7B9F">
              <w:rPr>
                <w:rFonts w:ascii="Arial" w:hAnsi="Arial" w:cs="Arial"/>
                <w:color w:val="000000"/>
                <w:sz w:val="20"/>
                <w:szCs w:val="20"/>
              </w:rPr>
              <w:t>Meets expectations</w:t>
            </w:r>
          </w:p>
        </w:tc>
      </w:tr>
      <w:tr w:rsidR="00F454FF" w:rsidTr="005D7FE1">
        <w:trPr>
          <w:trHeight w:val="100"/>
        </w:trPr>
        <w:tc>
          <w:tcPr>
            <w:tcW w:w="4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Default="00F454FF" w:rsidP="00F454FF">
            <w:pPr>
              <w:spacing w:before="60" w:after="60"/>
              <w:jc w:val="both"/>
              <w:rPr>
                <w:rFonts w:ascii="Arial" w:hAnsi="Arial" w:cs="Arial"/>
                <w:color w:val="000000"/>
                <w:sz w:val="20"/>
                <w:szCs w:val="20"/>
              </w:rPr>
            </w:pPr>
            <w:r>
              <w:rPr>
                <w:rFonts w:ascii="Arial" w:hAnsi="Arial" w:cs="Arial"/>
                <w:color w:val="000000"/>
                <w:sz w:val="20"/>
                <w:szCs w:val="20"/>
              </w:rPr>
              <w:t>13</w:t>
            </w:r>
          </w:p>
        </w:tc>
        <w:tc>
          <w:tcPr>
            <w:tcW w:w="572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Pr="00917708" w:rsidRDefault="00F454FF" w:rsidP="00F454FF">
            <w:pPr>
              <w:spacing w:before="60" w:after="60"/>
              <w:jc w:val="both"/>
              <w:rPr>
                <w:rFonts w:ascii="Arial" w:hAnsi="Arial" w:cs="Arial"/>
                <w:color w:val="000000"/>
                <w:sz w:val="20"/>
                <w:szCs w:val="20"/>
              </w:rPr>
            </w:pPr>
            <w:r w:rsidRPr="0082098A">
              <w:rPr>
                <w:rFonts w:ascii="Arial" w:hAnsi="Arial" w:cs="Arial"/>
                <w:color w:val="000000"/>
                <w:sz w:val="20"/>
                <w:szCs w:val="20"/>
              </w:rPr>
              <w:t>Wider assurance and information</w:t>
            </w:r>
          </w:p>
        </w:tc>
        <w:tc>
          <w:tcPr>
            <w:tcW w:w="252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454FF" w:rsidRPr="00EB7B9F" w:rsidRDefault="00F454FF" w:rsidP="00F454FF">
            <w:pPr>
              <w:spacing w:before="60" w:after="60"/>
              <w:jc w:val="both"/>
              <w:rPr>
                <w:rFonts w:ascii="Arial" w:hAnsi="Arial" w:cs="Arial"/>
                <w:color w:val="000000"/>
                <w:sz w:val="20"/>
                <w:szCs w:val="20"/>
              </w:rPr>
            </w:pPr>
            <w:r w:rsidRPr="00EB7B9F">
              <w:rPr>
                <w:rFonts w:ascii="Arial" w:hAnsi="Arial" w:cs="Arial"/>
                <w:color w:val="000000"/>
                <w:sz w:val="20"/>
                <w:szCs w:val="20"/>
              </w:rPr>
              <w:t>Meets expectations</w:t>
            </w:r>
          </w:p>
        </w:tc>
      </w:tr>
    </w:tbl>
    <w:p w:rsidR="00F454FF" w:rsidRDefault="00F454FF" w:rsidP="00F454FF">
      <w:pPr>
        <w:spacing w:after="0"/>
        <w:ind w:left="720"/>
        <w:jc w:val="both"/>
        <w:rPr>
          <w:rFonts w:ascii="Arial" w:hAnsi="Arial" w:cs="Arial"/>
        </w:rPr>
      </w:pPr>
    </w:p>
    <w:p w:rsidR="00F454FF" w:rsidRDefault="00557777" w:rsidP="005D7FE1">
      <w:pPr>
        <w:spacing w:after="0"/>
        <w:ind w:left="720" w:hanging="720"/>
        <w:jc w:val="both"/>
        <w:rPr>
          <w:rFonts w:ascii="Arial" w:hAnsi="Arial" w:cs="Arial"/>
        </w:rPr>
      </w:pPr>
      <w:r>
        <w:rPr>
          <w:rFonts w:ascii="Arial" w:hAnsi="Arial" w:cs="Arial"/>
        </w:rPr>
        <w:t>4</w:t>
      </w:r>
      <w:r w:rsidR="005D7FE1">
        <w:rPr>
          <w:rFonts w:ascii="Arial" w:hAnsi="Arial" w:cs="Arial"/>
        </w:rPr>
        <w:t>.6</w:t>
      </w:r>
      <w:r w:rsidR="005D7FE1">
        <w:rPr>
          <w:rFonts w:ascii="Arial" w:hAnsi="Arial" w:cs="Arial"/>
        </w:rPr>
        <w:tab/>
      </w:r>
      <w:r w:rsidR="00F454FF" w:rsidRPr="00DC50E9">
        <w:rPr>
          <w:rFonts w:ascii="Arial" w:hAnsi="Arial" w:cs="Arial"/>
        </w:rPr>
        <w:t>We are not assessed on case work activities, as we have no case work issues with customers for Ofwat to adjudicate upon.</w:t>
      </w:r>
    </w:p>
    <w:p w:rsidR="00F454FF" w:rsidRDefault="00F454FF" w:rsidP="00F454FF">
      <w:pPr>
        <w:spacing w:after="0"/>
        <w:ind w:left="720"/>
        <w:jc w:val="both"/>
        <w:rPr>
          <w:rFonts w:ascii="Arial" w:hAnsi="Arial" w:cs="Arial"/>
        </w:rPr>
      </w:pPr>
    </w:p>
    <w:p w:rsidR="00F454FF" w:rsidRPr="00AF462E" w:rsidRDefault="00557777" w:rsidP="005D7FE1">
      <w:pPr>
        <w:spacing w:after="0"/>
        <w:ind w:left="720" w:hanging="720"/>
        <w:jc w:val="both"/>
        <w:rPr>
          <w:rFonts w:ascii="Arial" w:hAnsi="Arial" w:cs="Arial"/>
        </w:rPr>
      </w:pPr>
      <w:r>
        <w:rPr>
          <w:rFonts w:ascii="Arial" w:hAnsi="Arial" w:cs="Arial"/>
        </w:rPr>
        <w:t>4</w:t>
      </w:r>
      <w:r w:rsidR="005D7FE1">
        <w:rPr>
          <w:rFonts w:ascii="Arial" w:hAnsi="Arial" w:cs="Arial"/>
        </w:rPr>
        <w:t>.7</w:t>
      </w:r>
      <w:r w:rsidR="005D7FE1">
        <w:rPr>
          <w:rFonts w:ascii="Arial" w:hAnsi="Arial" w:cs="Arial"/>
        </w:rPr>
        <w:tab/>
      </w:r>
      <w:r w:rsidR="00F454FF" w:rsidRPr="00AF462E">
        <w:rPr>
          <w:rFonts w:ascii="Arial" w:hAnsi="Arial" w:cs="Arial"/>
        </w:rPr>
        <w:t>The Company met most of Ofwat’s expectations on assurance practices as shown above, but Ofwat noted some shortcomings relating to the ‘Water resources management plan (WRMP) and market information’ document and our ‘Assurance Plan’.</w:t>
      </w:r>
    </w:p>
    <w:p w:rsidR="00F454FF" w:rsidRPr="00AF462E" w:rsidRDefault="00F454FF" w:rsidP="00F454FF">
      <w:pPr>
        <w:spacing w:after="0"/>
        <w:jc w:val="both"/>
        <w:rPr>
          <w:rFonts w:ascii="Arial" w:hAnsi="Arial" w:cs="Arial"/>
        </w:rPr>
      </w:pPr>
    </w:p>
    <w:p w:rsidR="00F454FF" w:rsidRPr="00AF462E" w:rsidRDefault="00557777" w:rsidP="005D7FE1">
      <w:pPr>
        <w:spacing w:after="0"/>
        <w:ind w:left="720" w:hanging="720"/>
        <w:jc w:val="both"/>
        <w:rPr>
          <w:rFonts w:ascii="Arial" w:hAnsi="Arial" w:cs="Arial"/>
        </w:rPr>
      </w:pPr>
      <w:r>
        <w:rPr>
          <w:rFonts w:ascii="Arial" w:hAnsi="Arial" w:cs="Arial"/>
        </w:rPr>
        <w:t>4</w:t>
      </w:r>
      <w:r w:rsidR="005D7FE1">
        <w:rPr>
          <w:rFonts w:ascii="Arial" w:hAnsi="Arial" w:cs="Arial"/>
        </w:rPr>
        <w:t>.8</w:t>
      </w:r>
      <w:r w:rsidR="005D7FE1">
        <w:rPr>
          <w:rFonts w:ascii="Arial" w:hAnsi="Arial" w:cs="Arial"/>
        </w:rPr>
        <w:tab/>
      </w:r>
      <w:r w:rsidR="00F454FF" w:rsidRPr="00AF462E">
        <w:rPr>
          <w:rFonts w:ascii="Arial" w:hAnsi="Arial" w:cs="Arial"/>
        </w:rPr>
        <w:t>Regarding the ‘Water resources management plan (WRMP) and market information’, this is the first time that it has been included within the company monitoring framework. The primary concern from Ofwat is the lack of evidence of Board Assurance presented in the Draft WRMP document (March 2018). There is now a ‘Board Assurance Statement’ section in our Draft Final WRMP (September 2018) which we will publish in 2019 when we receive approval from Defra. Ofwat also has some concerns surrounding the description of ‘zonal constraints’ and, the values presented in some of the market information tables. We will take the appropriate steps to resolve these issues for the publication of our Final WRMP, and market information.</w:t>
      </w:r>
    </w:p>
    <w:p w:rsidR="00F454FF" w:rsidRPr="00AF462E" w:rsidRDefault="00F454FF" w:rsidP="00F454FF">
      <w:pPr>
        <w:spacing w:after="0"/>
        <w:jc w:val="both"/>
        <w:rPr>
          <w:rFonts w:ascii="Arial" w:hAnsi="Arial" w:cs="Arial"/>
        </w:rPr>
      </w:pPr>
    </w:p>
    <w:p w:rsidR="00F454FF" w:rsidRDefault="00557777" w:rsidP="005D7FE1">
      <w:pPr>
        <w:spacing w:after="0"/>
        <w:ind w:left="720" w:hanging="720"/>
        <w:jc w:val="both"/>
        <w:rPr>
          <w:rFonts w:ascii="Arial" w:hAnsi="Arial" w:cs="Arial"/>
        </w:rPr>
      </w:pPr>
      <w:r>
        <w:rPr>
          <w:rFonts w:ascii="Arial" w:hAnsi="Arial" w:cs="Arial"/>
        </w:rPr>
        <w:t>4</w:t>
      </w:r>
      <w:r w:rsidR="005D7FE1">
        <w:rPr>
          <w:rFonts w:ascii="Arial" w:hAnsi="Arial" w:cs="Arial"/>
        </w:rPr>
        <w:t>.9</w:t>
      </w:r>
      <w:r w:rsidR="005D7FE1">
        <w:rPr>
          <w:rFonts w:ascii="Arial" w:hAnsi="Arial" w:cs="Arial"/>
        </w:rPr>
        <w:tab/>
      </w:r>
      <w:r w:rsidR="00F454FF" w:rsidRPr="00AF462E">
        <w:rPr>
          <w:rFonts w:ascii="Arial" w:hAnsi="Arial" w:cs="Arial"/>
        </w:rPr>
        <w:t>Ofwat also raised minor concerns</w:t>
      </w:r>
      <w:r w:rsidR="00CE1FE0">
        <w:rPr>
          <w:rFonts w:ascii="Arial" w:hAnsi="Arial" w:cs="Arial"/>
        </w:rPr>
        <w:t xml:space="preserve"> over aspects of the Assurance P</w:t>
      </w:r>
      <w:r w:rsidR="00F454FF" w:rsidRPr="00AF462E">
        <w:rPr>
          <w:rFonts w:ascii="Arial" w:hAnsi="Arial" w:cs="Arial"/>
        </w:rPr>
        <w:t xml:space="preserve">lan. Most of the concerns relate to the presentation of information and a request to expand some sections of this document. Furthermore, there was a concern that the scope of the audit report did fully include financial reporting. For our Draft </w:t>
      </w:r>
      <w:r w:rsidR="00CE1FE0">
        <w:rPr>
          <w:rFonts w:ascii="Arial" w:hAnsi="Arial" w:cs="Arial"/>
        </w:rPr>
        <w:t xml:space="preserve">and Final </w:t>
      </w:r>
      <w:r w:rsidR="00F454FF" w:rsidRPr="00AF462E">
        <w:rPr>
          <w:rFonts w:ascii="Arial" w:hAnsi="Arial" w:cs="Arial"/>
        </w:rPr>
        <w:t>Assurance Plan this year, 2018/19, we have developed the report to cover the concerns raised by Ofwat.</w:t>
      </w:r>
      <w:r w:rsidR="00234D58">
        <w:rPr>
          <w:rFonts w:ascii="Arial" w:hAnsi="Arial" w:cs="Arial"/>
        </w:rPr>
        <w:t xml:space="preserve">  </w:t>
      </w:r>
    </w:p>
    <w:p w:rsidR="00A760CF" w:rsidRDefault="00A760CF" w:rsidP="001927BA">
      <w:pPr>
        <w:autoSpaceDE w:val="0"/>
        <w:autoSpaceDN w:val="0"/>
        <w:adjustRightInd w:val="0"/>
        <w:spacing w:after="0" w:line="240" w:lineRule="auto"/>
        <w:ind w:left="142"/>
        <w:jc w:val="both"/>
        <w:rPr>
          <w:rFonts w:ascii="Arial" w:hAnsi="Arial" w:cs="Arial"/>
          <w:color w:val="000000"/>
        </w:rPr>
      </w:pPr>
    </w:p>
    <w:p w:rsidR="00F454FF" w:rsidRDefault="00F454FF">
      <w:pPr>
        <w:rPr>
          <w:rFonts w:ascii="Arial" w:hAnsi="Arial" w:cs="Arial"/>
          <w:b/>
          <w:sz w:val="24"/>
          <w:szCs w:val="24"/>
        </w:rPr>
      </w:pPr>
      <w:r>
        <w:rPr>
          <w:rFonts w:ascii="Arial" w:hAnsi="Arial" w:cs="Arial"/>
          <w:b/>
          <w:sz w:val="24"/>
          <w:szCs w:val="24"/>
        </w:rPr>
        <w:br w:type="page"/>
      </w:r>
    </w:p>
    <w:p w:rsidR="007F752D" w:rsidRPr="00542380" w:rsidRDefault="00557777" w:rsidP="001927BA">
      <w:pPr>
        <w:spacing w:after="0"/>
        <w:jc w:val="both"/>
        <w:rPr>
          <w:rFonts w:ascii="Arial" w:hAnsi="Arial" w:cs="Arial"/>
          <w:b/>
        </w:rPr>
      </w:pPr>
      <w:r>
        <w:rPr>
          <w:rFonts w:ascii="Arial" w:hAnsi="Arial" w:cs="Arial"/>
          <w:b/>
          <w:sz w:val="24"/>
          <w:szCs w:val="24"/>
        </w:rPr>
        <w:t>5.</w:t>
      </w:r>
      <w:r>
        <w:rPr>
          <w:rFonts w:ascii="Arial" w:hAnsi="Arial" w:cs="Arial"/>
          <w:b/>
          <w:sz w:val="24"/>
          <w:szCs w:val="24"/>
        </w:rPr>
        <w:tab/>
      </w:r>
      <w:r w:rsidR="008834B7">
        <w:rPr>
          <w:rFonts w:ascii="Arial" w:hAnsi="Arial" w:cs="Arial"/>
          <w:b/>
          <w:sz w:val="24"/>
          <w:szCs w:val="24"/>
        </w:rPr>
        <w:t xml:space="preserve">Final Assurance Plan </w:t>
      </w:r>
      <w:r w:rsidR="0076296D">
        <w:rPr>
          <w:rFonts w:ascii="Arial" w:hAnsi="Arial" w:cs="Arial"/>
          <w:b/>
          <w:sz w:val="24"/>
          <w:szCs w:val="24"/>
        </w:rPr>
        <w:t>2018/19</w:t>
      </w:r>
    </w:p>
    <w:p w:rsidR="007F752D" w:rsidRPr="00A760CF" w:rsidRDefault="007F752D" w:rsidP="001927BA">
      <w:pPr>
        <w:autoSpaceDE w:val="0"/>
        <w:autoSpaceDN w:val="0"/>
        <w:adjustRightInd w:val="0"/>
        <w:spacing w:after="0" w:line="240" w:lineRule="auto"/>
        <w:jc w:val="both"/>
        <w:rPr>
          <w:rFonts w:ascii="Arial" w:hAnsi="Arial" w:cs="Arial"/>
        </w:rPr>
      </w:pPr>
    </w:p>
    <w:p w:rsidR="007F752D" w:rsidRPr="00A760CF" w:rsidRDefault="001927BA" w:rsidP="00557777">
      <w:pPr>
        <w:autoSpaceDE w:val="0"/>
        <w:autoSpaceDN w:val="0"/>
        <w:adjustRightInd w:val="0"/>
        <w:spacing w:after="0" w:line="240" w:lineRule="auto"/>
        <w:ind w:left="720" w:hanging="720"/>
        <w:jc w:val="both"/>
        <w:rPr>
          <w:rFonts w:ascii="Arial" w:hAnsi="Arial" w:cs="Arial"/>
        </w:rPr>
      </w:pPr>
      <w:r>
        <w:rPr>
          <w:rFonts w:ascii="Arial" w:hAnsi="Arial" w:cs="Arial"/>
        </w:rPr>
        <w:t>5.</w:t>
      </w:r>
      <w:r w:rsidR="00AF41D6">
        <w:rPr>
          <w:rFonts w:ascii="Arial" w:hAnsi="Arial" w:cs="Arial"/>
        </w:rPr>
        <w:t>1</w:t>
      </w:r>
      <w:r>
        <w:rPr>
          <w:rFonts w:ascii="Arial" w:hAnsi="Arial" w:cs="Arial"/>
        </w:rPr>
        <w:t xml:space="preserve"> </w:t>
      </w:r>
      <w:r w:rsidR="005850BF">
        <w:rPr>
          <w:rFonts w:ascii="Arial" w:hAnsi="Arial" w:cs="Arial"/>
        </w:rPr>
        <w:tab/>
      </w:r>
      <w:r w:rsidR="007F752D" w:rsidRPr="00A760CF">
        <w:rPr>
          <w:rFonts w:ascii="Arial" w:hAnsi="Arial" w:cs="Arial"/>
        </w:rPr>
        <w:t xml:space="preserve">Our Annual </w:t>
      </w:r>
      <w:r>
        <w:rPr>
          <w:rFonts w:ascii="Arial" w:hAnsi="Arial" w:cs="Arial"/>
        </w:rPr>
        <w:t xml:space="preserve">Performance Report </w:t>
      </w:r>
      <w:r w:rsidR="007F752D" w:rsidRPr="00A760CF">
        <w:rPr>
          <w:rFonts w:ascii="Arial" w:hAnsi="Arial" w:cs="Arial"/>
        </w:rPr>
        <w:t xml:space="preserve">is the primary way that we </w:t>
      </w:r>
      <w:r w:rsidR="008834B7">
        <w:rPr>
          <w:rFonts w:ascii="Arial" w:hAnsi="Arial" w:cs="Arial"/>
        </w:rPr>
        <w:t xml:space="preserve">will </w:t>
      </w:r>
      <w:r w:rsidR="007F752D" w:rsidRPr="00A760CF">
        <w:rPr>
          <w:rFonts w:ascii="Arial" w:hAnsi="Arial" w:cs="Arial"/>
        </w:rPr>
        <w:t>document our annual performance and hold ourselves publicly to account</w:t>
      </w:r>
      <w:r w:rsidR="00E63F74" w:rsidRPr="00A760CF">
        <w:rPr>
          <w:rFonts w:ascii="Arial" w:hAnsi="Arial" w:cs="Arial"/>
        </w:rPr>
        <w:t xml:space="preserve">. </w:t>
      </w:r>
      <w:r w:rsidR="007F752D" w:rsidRPr="00A760CF">
        <w:rPr>
          <w:rFonts w:ascii="Arial" w:hAnsi="Arial" w:cs="Arial"/>
        </w:rPr>
        <w:t xml:space="preserve">The Annual </w:t>
      </w:r>
      <w:r w:rsidR="00AF41D6">
        <w:rPr>
          <w:rFonts w:ascii="Arial" w:hAnsi="Arial" w:cs="Arial"/>
        </w:rPr>
        <w:t xml:space="preserve">Performance </w:t>
      </w:r>
      <w:r w:rsidR="007F752D" w:rsidRPr="00A760CF">
        <w:rPr>
          <w:rFonts w:ascii="Arial" w:hAnsi="Arial" w:cs="Arial"/>
        </w:rPr>
        <w:t>Report includes:</w:t>
      </w:r>
    </w:p>
    <w:p w:rsidR="00E63F74" w:rsidRPr="00A760CF" w:rsidRDefault="00E63F74" w:rsidP="001927BA">
      <w:pPr>
        <w:autoSpaceDE w:val="0"/>
        <w:autoSpaceDN w:val="0"/>
        <w:adjustRightInd w:val="0"/>
        <w:spacing w:after="0" w:line="240" w:lineRule="auto"/>
        <w:jc w:val="both"/>
        <w:rPr>
          <w:rFonts w:ascii="Arial" w:hAnsi="Arial" w:cs="Arial"/>
        </w:rPr>
      </w:pPr>
    </w:p>
    <w:p w:rsidR="007F752D" w:rsidRPr="001927BA" w:rsidRDefault="0015715B" w:rsidP="00557777">
      <w:pPr>
        <w:pStyle w:val="ListParagraph"/>
        <w:numPr>
          <w:ilvl w:val="0"/>
          <w:numId w:val="8"/>
        </w:numPr>
        <w:autoSpaceDE w:val="0"/>
        <w:autoSpaceDN w:val="0"/>
        <w:adjustRightInd w:val="0"/>
        <w:spacing w:after="0" w:line="240" w:lineRule="auto"/>
        <w:ind w:left="1080"/>
        <w:jc w:val="both"/>
        <w:rPr>
          <w:rFonts w:ascii="Arial" w:hAnsi="Arial" w:cs="Arial"/>
        </w:rPr>
      </w:pPr>
      <w:r>
        <w:rPr>
          <w:rFonts w:ascii="Arial" w:hAnsi="Arial" w:cs="Arial"/>
        </w:rPr>
        <w:t xml:space="preserve">The Regulatory </w:t>
      </w:r>
      <w:r w:rsidR="007F752D" w:rsidRPr="001927BA">
        <w:rPr>
          <w:rFonts w:ascii="Arial" w:hAnsi="Arial" w:cs="Arial"/>
        </w:rPr>
        <w:t>Accounts – audited separately by</w:t>
      </w:r>
      <w:r w:rsidR="00E63F74" w:rsidRPr="001927BA">
        <w:rPr>
          <w:rFonts w:ascii="Arial" w:hAnsi="Arial" w:cs="Arial"/>
        </w:rPr>
        <w:t xml:space="preserve"> </w:t>
      </w:r>
      <w:r w:rsidR="005850BF">
        <w:rPr>
          <w:rFonts w:ascii="Arial" w:hAnsi="Arial" w:cs="Arial"/>
        </w:rPr>
        <w:t>KPMG</w:t>
      </w:r>
    </w:p>
    <w:p w:rsidR="007F752D" w:rsidRPr="001927BA" w:rsidRDefault="0015715B" w:rsidP="00557777">
      <w:pPr>
        <w:pStyle w:val="ListParagraph"/>
        <w:numPr>
          <w:ilvl w:val="0"/>
          <w:numId w:val="8"/>
        </w:numPr>
        <w:autoSpaceDE w:val="0"/>
        <w:autoSpaceDN w:val="0"/>
        <w:adjustRightInd w:val="0"/>
        <w:spacing w:after="0" w:line="240" w:lineRule="auto"/>
        <w:ind w:left="1080"/>
        <w:jc w:val="both"/>
        <w:rPr>
          <w:rFonts w:ascii="Arial" w:hAnsi="Arial" w:cs="Arial"/>
        </w:rPr>
      </w:pPr>
      <w:r>
        <w:rPr>
          <w:rFonts w:ascii="Arial" w:hAnsi="Arial" w:cs="Arial"/>
        </w:rPr>
        <w:t xml:space="preserve">Performance against our ODIs - </w:t>
      </w:r>
      <w:r w:rsidR="00E63F74" w:rsidRPr="001927BA">
        <w:rPr>
          <w:rFonts w:ascii="Arial" w:hAnsi="Arial" w:cs="Arial"/>
        </w:rPr>
        <w:t>audited by Atkins</w:t>
      </w:r>
      <w:r>
        <w:rPr>
          <w:rFonts w:ascii="Arial" w:hAnsi="Arial" w:cs="Arial"/>
        </w:rPr>
        <w:t xml:space="preserve"> </w:t>
      </w:r>
    </w:p>
    <w:p w:rsidR="007F752D" w:rsidRPr="00A760CF" w:rsidRDefault="007F752D" w:rsidP="00557777">
      <w:pPr>
        <w:pStyle w:val="ListParagraph"/>
        <w:numPr>
          <w:ilvl w:val="0"/>
          <w:numId w:val="8"/>
        </w:numPr>
        <w:autoSpaceDE w:val="0"/>
        <w:autoSpaceDN w:val="0"/>
        <w:adjustRightInd w:val="0"/>
        <w:spacing w:after="0" w:line="240" w:lineRule="auto"/>
        <w:ind w:left="1080"/>
        <w:jc w:val="both"/>
        <w:rPr>
          <w:rFonts w:ascii="Arial" w:hAnsi="Arial" w:cs="Arial"/>
        </w:rPr>
      </w:pPr>
      <w:r w:rsidRPr="00A760CF">
        <w:rPr>
          <w:rFonts w:ascii="Arial" w:hAnsi="Arial" w:cs="Arial"/>
        </w:rPr>
        <w:t>other information to</w:t>
      </w:r>
      <w:r w:rsidR="00E63F74" w:rsidRPr="00A760CF">
        <w:rPr>
          <w:rFonts w:ascii="Arial" w:hAnsi="Arial" w:cs="Arial"/>
        </w:rPr>
        <w:t xml:space="preserve"> </w:t>
      </w:r>
      <w:r w:rsidRPr="00A760CF">
        <w:rPr>
          <w:rFonts w:ascii="Arial" w:hAnsi="Arial" w:cs="Arial"/>
        </w:rPr>
        <w:t xml:space="preserve">explain more broadly our </w:t>
      </w:r>
      <w:r w:rsidR="00F9475E">
        <w:rPr>
          <w:rFonts w:ascii="Arial" w:hAnsi="Arial" w:cs="Arial"/>
        </w:rPr>
        <w:t xml:space="preserve">performance against </w:t>
      </w:r>
      <w:r w:rsidR="0015715B">
        <w:rPr>
          <w:rFonts w:ascii="Arial" w:hAnsi="Arial" w:cs="Arial"/>
        </w:rPr>
        <w:t xml:space="preserve">other </w:t>
      </w:r>
      <w:r w:rsidRPr="00A760CF">
        <w:rPr>
          <w:rFonts w:ascii="Arial" w:hAnsi="Arial" w:cs="Arial"/>
        </w:rPr>
        <w:t>commitments and responsibilities to</w:t>
      </w:r>
      <w:r w:rsidR="00E63F74" w:rsidRPr="00A760CF">
        <w:rPr>
          <w:rFonts w:ascii="Arial" w:hAnsi="Arial" w:cs="Arial"/>
        </w:rPr>
        <w:t xml:space="preserve"> </w:t>
      </w:r>
      <w:r w:rsidRPr="00A760CF">
        <w:rPr>
          <w:rFonts w:ascii="Arial" w:hAnsi="Arial" w:cs="Arial"/>
        </w:rPr>
        <w:t>s</w:t>
      </w:r>
      <w:r w:rsidR="00AF41D6">
        <w:rPr>
          <w:rFonts w:ascii="Arial" w:hAnsi="Arial" w:cs="Arial"/>
        </w:rPr>
        <w:t>takeholders and customers</w:t>
      </w:r>
    </w:p>
    <w:p w:rsidR="00E63F74" w:rsidRPr="00A760CF" w:rsidRDefault="00E63F74" w:rsidP="001927BA">
      <w:pPr>
        <w:autoSpaceDE w:val="0"/>
        <w:autoSpaceDN w:val="0"/>
        <w:adjustRightInd w:val="0"/>
        <w:spacing w:after="0" w:line="240" w:lineRule="auto"/>
        <w:ind w:left="360"/>
        <w:jc w:val="both"/>
        <w:rPr>
          <w:rFonts w:ascii="Arial" w:hAnsi="Arial" w:cs="Arial"/>
        </w:rPr>
      </w:pPr>
    </w:p>
    <w:p w:rsidR="007F752D" w:rsidRPr="001927BA" w:rsidRDefault="007F752D" w:rsidP="001927BA">
      <w:pPr>
        <w:autoSpaceDE w:val="0"/>
        <w:autoSpaceDN w:val="0"/>
        <w:adjustRightInd w:val="0"/>
        <w:spacing w:after="0" w:line="240" w:lineRule="auto"/>
        <w:jc w:val="both"/>
        <w:rPr>
          <w:rFonts w:ascii="Arial" w:hAnsi="Arial" w:cs="Arial"/>
          <w:b/>
        </w:rPr>
      </w:pPr>
      <w:r w:rsidRPr="001927BA">
        <w:rPr>
          <w:rFonts w:ascii="Arial" w:hAnsi="Arial" w:cs="Arial"/>
          <w:b/>
        </w:rPr>
        <w:t>Performance</w:t>
      </w:r>
      <w:r w:rsidR="00E63F74" w:rsidRPr="001927BA">
        <w:rPr>
          <w:rFonts w:ascii="Arial" w:hAnsi="Arial" w:cs="Arial"/>
          <w:b/>
        </w:rPr>
        <w:t xml:space="preserve"> </w:t>
      </w:r>
      <w:r w:rsidRPr="001927BA">
        <w:rPr>
          <w:rFonts w:ascii="Arial" w:hAnsi="Arial" w:cs="Arial"/>
          <w:b/>
        </w:rPr>
        <w:t>Commitments and</w:t>
      </w:r>
      <w:r w:rsidR="00E63F74" w:rsidRPr="001927BA">
        <w:rPr>
          <w:rFonts w:ascii="Arial" w:hAnsi="Arial" w:cs="Arial"/>
          <w:b/>
        </w:rPr>
        <w:t xml:space="preserve"> </w:t>
      </w:r>
      <w:r w:rsidRPr="001927BA">
        <w:rPr>
          <w:rFonts w:ascii="Arial" w:hAnsi="Arial" w:cs="Arial"/>
          <w:b/>
        </w:rPr>
        <w:t>Outcome Delivery</w:t>
      </w:r>
      <w:r w:rsidR="00E63F74" w:rsidRPr="001927BA">
        <w:rPr>
          <w:rFonts w:ascii="Arial" w:hAnsi="Arial" w:cs="Arial"/>
          <w:b/>
        </w:rPr>
        <w:t xml:space="preserve"> </w:t>
      </w:r>
      <w:r w:rsidRPr="001927BA">
        <w:rPr>
          <w:rFonts w:ascii="Arial" w:hAnsi="Arial" w:cs="Arial"/>
          <w:b/>
        </w:rPr>
        <w:t>Incentives (ODIs</w:t>
      </w:r>
      <w:r w:rsidR="001927BA">
        <w:rPr>
          <w:rFonts w:ascii="Arial" w:hAnsi="Arial" w:cs="Arial"/>
          <w:b/>
        </w:rPr>
        <w:t>)</w:t>
      </w:r>
    </w:p>
    <w:p w:rsidR="008834B7" w:rsidRDefault="008834B7" w:rsidP="001927BA">
      <w:pPr>
        <w:autoSpaceDE w:val="0"/>
        <w:autoSpaceDN w:val="0"/>
        <w:adjustRightInd w:val="0"/>
        <w:spacing w:after="0" w:line="240" w:lineRule="auto"/>
        <w:jc w:val="both"/>
        <w:rPr>
          <w:rFonts w:ascii="Arial" w:hAnsi="Arial" w:cs="Arial"/>
        </w:rPr>
      </w:pPr>
    </w:p>
    <w:p w:rsidR="00E63F74" w:rsidRDefault="001927BA" w:rsidP="00557777">
      <w:pPr>
        <w:autoSpaceDE w:val="0"/>
        <w:autoSpaceDN w:val="0"/>
        <w:adjustRightInd w:val="0"/>
        <w:spacing w:after="0" w:line="240" w:lineRule="auto"/>
        <w:ind w:left="720" w:hanging="720"/>
        <w:jc w:val="both"/>
        <w:rPr>
          <w:rFonts w:ascii="Arial" w:hAnsi="Arial" w:cs="Arial"/>
        </w:rPr>
      </w:pPr>
      <w:r>
        <w:rPr>
          <w:rFonts w:ascii="Arial" w:hAnsi="Arial" w:cs="Arial"/>
        </w:rPr>
        <w:t>5.</w:t>
      </w:r>
      <w:r w:rsidR="00AF41D6">
        <w:rPr>
          <w:rFonts w:ascii="Arial" w:hAnsi="Arial" w:cs="Arial"/>
        </w:rPr>
        <w:t>2</w:t>
      </w:r>
      <w:r>
        <w:rPr>
          <w:rFonts w:ascii="Arial" w:hAnsi="Arial" w:cs="Arial"/>
        </w:rPr>
        <w:t xml:space="preserve"> </w:t>
      </w:r>
      <w:r w:rsidR="005850BF">
        <w:rPr>
          <w:rFonts w:ascii="Arial" w:hAnsi="Arial" w:cs="Arial"/>
        </w:rPr>
        <w:tab/>
      </w:r>
      <w:r w:rsidR="007F752D" w:rsidRPr="00A760CF">
        <w:rPr>
          <w:rFonts w:ascii="Arial" w:hAnsi="Arial" w:cs="Arial"/>
        </w:rPr>
        <w:t xml:space="preserve">Our Business Plan for the period 2015–20 made </w:t>
      </w:r>
      <w:r>
        <w:rPr>
          <w:rFonts w:ascii="Arial" w:hAnsi="Arial" w:cs="Arial"/>
        </w:rPr>
        <w:t>13</w:t>
      </w:r>
      <w:r w:rsidR="007F752D" w:rsidRPr="00A760CF">
        <w:rPr>
          <w:rFonts w:ascii="Arial" w:hAnsi="Arial" w:cs="Arial"/>
        </w:rPr>
        <w:t xml:space="preserve"> promises</w:t>
      </w:r>
      <w:r w:rsidR="00E63F74" w:rsidRPr="00A760CF">
        <w:rPr>
          <w:rFonts w:ascii="Arial" w:hAnsi="Arial" w:cs="Arial"/>
        </w:rPr>
        <w:t xml:space="preserve"> </w:t>
      </w:r>
      <w:r w:rsidR="007F752D" w:rsidRPr="00A760CF">
        <w:rPr>
          <w:rFonts w:ascii="Arial" w:hAnsi="Arial" w:cs="Arial"/>
        </w:rPr>
        <w:t>to our customers with a clear set of targets to deliver by 2020.</w:t>
      </w:r>
      <w:r w:rsidR="00E63F74" w:rsidRPr="00A760CF">
        <w:rPr>
          <w:rFonts w:ascii="Arial" w:hAnsi="Arial" w:cs="Arial"/>
        </w:rPr>
        <w:t xml:space="preserve"> </w:t>
      </w:r>
    </w:p>
    <w:p w:rsidR="00BE681A" w:rsidRPr="00A760CF" w:rsidRDefault="00BE681A" w:rsidP="001927BA">
      <w:pPr>
        <w:autoSpaceDE w:val="0"/>
        <w:autoSpaceDN w:val="0"/>
        <w:adjustRightInd w:val="0"/>
        <w:spacing w:after="0" w:line="240" w:lineRule="auto"/>
        <w:jc w:val="both"/>
        <w:rPr>
          <w:rFonts w:ascii="Arial" w:hAnsi="Arial" w:cs="Arial"/>
        </w:rPr>
      </w:pPr>
    </w:p>
    <w:p w:rsidR="007F752D" w:rsidRPr="00A760CF" w:rsidRDefault="00AF41D6" w:rsidP="00557777">
      <w:pPr>
        <w:autoSpaceDE w:val="0"/>
        <w:autoSpaceDN w:val="0"/>
        <w:adjustRightInd w:val="0"/>
        <w:spacing w:after="0" w:line="240" w:lineRule="auto"/>
        <w:ind w:left="720" w:hanging="720"/>
        <w:jc w:val="both"/>
        <w:rPr>
          <w:rFonts w:ascii="Arial" w:hAnsi="Arial" w:cs="Arial"/>
        </w:rPr>
      </w:pPr>
      <w:r>
        <w:rPr>
          <w:rFonts w:ascii="Arial" w:hAnsi="Arial" w:cs="Arial"/>
        </w:rPr>
        <w:t xml:space="preserve">5.3 </w:t>
      </w:r>
      <w:r w:rsidR="005850BF">
        <w:rPr>
          <w:rFonts w:ascii="Arial" w:hAnsi="Arial" w:cs="Arial"/>
        </w:rPr>
        <w:tab/>
      </w:r>
      <w:r w:rsidR="007F752D" w:rsidRPr="00A760CF">
        <w:rPr>
          <w:rFonts w:ascii="Arial" w:hAnsi="Arial" w:cs="Arial"/>
        </w:rPr>
        <w:t xml:space="preserve">In addition, our stakeholder engagement exercise </w:t>
      </w:r>
      <w:r w:rsidR="005850BF">
        <w:rPr>
          <w:rFonts w:ascii="Arial" w:hAnsi="Arial" w:cs="Arial"/>
        </w:rPr>
        <w:t xml:space="preserve">in the past have </w:t>
      </w:r>
      <w:r w:rsidR="007F752D" w:rsidRPr="00A760CF">
        <w:rPr>
          <w:rFonts w:ascii="Arial" w:hAnsi="Arial" w:cs="Arial"/>
        </w:rPr>
        <w:t>highlighted</w:t>
      </w:r>
      <w:r w:rsidR="00E63F74" w:rsidRPr="00A760CF">
        <w:rPr>
          <w:rFonts w:ascii="Arial" w:hAnsi="Arial" w:cs="Arial"/>
        </w:rPr>
        <w:t xml:space="preserve"> </w:t>
      </w:r>
      <w:r w:rsidR="007F752D" w:rsidRPr="00A760CF">
        <w:rPr>
          <w:rFonts w:ascii="Arial" w:hAnsi="Arial" w:cs="Arial"/>
        </w:rPr>
        <w:t>opportunities to improve reporting in specific areas namely;</w:t>
      </w:r>
    </w:p>
    <w:p w:rsidR="00825018" w:rsidRPr="00A760CF" w:rsidRDefault="00825018" w:rsidP="001927BA">
      <w:pPr>
        <w:autoSpaceDE w:val="0"/>
        <w:autoSpaceDN w:val="0"/>
        <w:adjustRightInd w:val="0"/>
        <w:spacing w:after="0" w:line="240" w:lineRule="auto"/>
        <w:jc w:val="both"/>
        <w:rPr>
          <w:rFonts w:ascii="Arial" w:hAnsi="Arial" w:cs="Arial"/>
        </w:rPr>
      </w:pPr>
    </w:p>
    <w:p w:rsidR="00825018" w:rsidRPr="00BE681A" w:rsidRDefault="00825018" w:rsidP="00557777">
      <w:pPr>
        <w:pStyle w:val="ListParagraph"/>
        <w:numPr>
          <w:ilvl w:val="0"/>
          <w:numId w:val="9"/>
        </w:numPr>
        <w:autoSpaceDE w:val="0"/>
        <w:autoSpaceDN w:val="0"/>
        <w:adjustRightInd w:val="0"/>
        <w:spacing w:after="0" w:line="240" w:lineRule="auto"/>
        <w:ind w:left="1080"/>
        <w:jc w:val="both"/>
        <w:rPr>
          <w:rFonts w:ascii="Arial" w:hAnsi="Arial" w:cs="Arial"/>
        </w:rPr>
      </w:pPr>
      <w:r w:rsidRPr="00BE681A">
        <w:rPr>
          <w:rFonts w:ascii="Arial" w:hAnsi="Arial" w:cs="Arial"/>
        </w:rPr>
        <w:t>Providing trend performance data, where appropriate</w:t>
      </w:r>
    </w:p>
    <w:p w:rsidR="007F752D" w:rsidRPr="00BE681A" w:rsidRDefault="00825018" w:rsidP="00557777">
      <w:pPr>
        <w:pStyle w:val="ListParagraph"/>
        <w:numPr>
          <w:ilvl w:val="0"/>
          <w:numId w:val="9"/>
        </w:numPr>
        <w:autoSpaceDE w:val="0"/>
        <w:autoSpaceDN w:val="0"/>
        <w:adjustRightInd w:val="0"/>
        <w:spacing w:after="0" w:line="240" w:lineRule="auto"/>
        <w:ind w:left="1080"/>
        <w:jc w:val="both"/>
        <w:rPr>
          <w:rFonts w:ascii="Arial" w:hAnsi="Arial" w:cs="Arial"/>
        </w:rPr>
      </w:pPr>
      <w:r w:rsidRPr="00BE681A">
        <w:rPr>
          <w:rFonts w:ascii="Arial" w:hAnsi="Arial" w:cs="Arial"/>
        </w:rPr>
        <w:t>Providing c</w:t>
      </w:r>
      <w:r w:rsidR="007F752D" w:rsidRPr="00BE681A">
        <w:rPr>
          <w:rFonts w:ascii="Arial" w:hAnsi="Arial" w:cs="Arial"/>
        </w:rPr>
        <w:t>omparative performance data for key areas;</w:t>
      </w:r>
    </w:p>
    <w:p w:rsidR="007F752D" w:rsidRPr="00BE681A" w:rsidRDefault="00825018" w:rsidP="00557777">
      <w:pPr>
        <w:pStyle w:val="ListParagraph"/>
        <w:numPr>
          <w:ilvl w:val="0"/>
          <w:numId w:val="9"/>
        </w:numPr>
        <w:autoSpaceDE w:val="0"/>
        <w:autoSpaceDN w:val="0"/>
        <w:adjustRightInd w:val="0"/>
        <w:spacing w:after="0" w:line="240" w:lineRule="auto"/>
        <w:ind w:left="1080"/>
        <w:jc w:val="both"/>
        <w:rPr>
          <w:rFonts w:ascii="Arial" w:hAnsi="Arial" w:cs="Arial"/>
        </w:rPr>
      </w:pPr>
      <w:r w:rsidRPr="00BE681A">
        <w:rPr>
          <w:rFonts w:ascii="Arial" w:hAnsi="Arial" w:cs="Arial"/>
        </w:rPr>
        <w:t>D</w:t>
      </w:r>
      <w:r w:rsidR="007F752D" w:rsidRPr="00BE681A">
        <w:rPr>
          <w:rFonts w:ascii="Arial" w:hAnsi="Arial" w:cs="Arial"/>
        </w:rPr>
        <w:t xml:space="preserve">elivering </w:t>
      </w:r>
      <w:r w:rsidR="008834B7" w:rsidRPr="00BE681A">
        <w:rPr>
          <w:rFonts w:ascii="Arial" w:hAnsi="Arial" w:cs="Arial"/>
        </w:rPr>
        <w:t xml:space="preserve">against </w:t>
      </w:r>
      <w:r w:rsidR="007F752D" w:rsidRPr="00BE681A">
        <w:rPr>
          <w:rFonts w:ascii="Arial" w:hAnsi="Arial" w:cs="Arial"/>
        </w:rPr>
        <w:t>the National Environment Plan;</w:t>
      </w:r>
      <w:r w:rsidR="00A760CF" w:rsidRPr="00BE681A">
        <w:rPr>
          <w:rFonts w:ascii="Arial" w:hAnsi="Arial" w:cs="Arial"/>
        </w:rPr>
        <w:t xml:space="preserve"> and</w:t>
      </w:r>
    </w:p>
    <w:p w:rsidR="007F752D" w:rsidRPr="00BE681A" w:rsidRDefault="00825018" w:rsidP="00557777">
      <w:pPr>
        <w:pStyle w:val="ListParagraph"/>
        <w:numPr>
          <w:ilvl w:val="0"/>
          <w:numId w:val="9"/>
        </w:numPr>
        <w:autoSpaceDE w:val="0"/>
        <w:autoSpaceDN w:val="0"/>
        <w:adjustRightInd w:val="0"/>
        <w:spacing w:after="0" w:line="240" w:lineRule="auto"/>
        <w:ind w:left="1080"/>
        <w:jc w:val="both"/>
        <w:rPr>
          <w:rFonts w:ascii="Arial" w:hAnsi="Arial" w:cs="Arial"/>
        </w:rPr>
      </w:pPr>
      <w:r w:rsidRPr="00BE681A">
        <w:rPr>
          <w:rFonts w:ascii="Arial" w:hAnsi="Arial" w:cs="Arial"/>
        </w:rPr>
        <w:t>R</w:t>
      </w:r>
      <w:r w:rsidR="007F752D" w:rsidRPr="00BE681A">
        <w:rPr>
          <w:rFonts w:ascii="Arial" w:hAnsi="Arial" w:cs="Arial"/>
        </w:rPr>
        <w:t xml:space="preserve">eporting on </w:t>
      </w:r>
      <w:r w:rsidR="006F7A37" w:rsidRPr="00BE681A">
        <w:rPr>
          <w:rFonts w:ascii="Arial" w:hAnsi="Arial" w:cs="Arial"/>
        </w:rPr>
        <w:t xml:space="preserve">the </w:t>
      </w:r>
      <w:r w:rsidR="007F752D" w:rsidRPr="00BE681A">
        <w:rPr>
          <w:rFonts w:ascii="Arial" w:hAnsi="Arial" w:cs="Arial"/>
        </w:rPr>
        <w:t xml:space="preserve">management of </w:t>
      </w:r>
      <w:r w:rsidR="006F7A37" w:rsidRPr="00BE681A">
        <w:rPr>
          <w:rFonts w:ascii="Arial" w:hAnsi="Arial" w:cs="Arial"/>
        </w:rPr>
        <w:t xml:space="preserve">our one </w:t>
      </w:r>
      <w:r w:rsidR="007F752D" w:rsidRPr="00BE681A">
        <w:rPr>
          <w:rFonts w:ascii="Arial" w:hAnsi="Arial" w:cs="Arial"/>
        </w:rPr>
        <w:t>Site of Special Scientific</w:t>
      </w:r>
      <w:r w:rsidR="00BB5A44" w:rsidRPr="00BE681A">
        <w:rPr>
          <w:rFonts w:ascii="Arial" w:hAnsi="Arial" w:cs="Arial"/>
        </w:rPr>
        <w:t xml:space="preserve"> </w:t>
      </w:r>
      <w:r w:rsidR="007F752D" w:rsidRPr="00BE681A">
        <w:rPr>
          <w:rFonts w:ascii="Arial" w:hAnsi="Arial" w:cs="Arial"/>
        </w:rPr>
        <w:t xml:space="preserve">Interest </w:t>
      </w:r>
      <w:r w:rsidR="006F7A37" w:rsidRPr="00BE681A">
        <w:rPr>
          <w:rFonts w:ascii="Arial" w:hAnsi="Arial" w:cs="Arial"/>
        </w:rPr>
        <w:t xml:space="preserve">at the river Itchen </w:t>
      </w:r>
      <w:r w:rsidR="007F752D" w:rsidRPr="00BE681A">
        <w:rPr>
          <w:rFonts w:ascii="Arial" w:hAnsi="Arial" w:cs="Arial"/>
        </w:rPr>
        <w:t xml:space="preserve">(SSSIs) and </w:t>
      </w:r>
      <w:r w:rsidR="006F7A37" w:rsidRPr="00BE681A">
        <w:rPr>
          <w:rFonts w:ascii="Arial" w:hAnsi="Arial" w:cs="Arial"/>
        </w:rPr>
        <w:t xml:space="preserve">the </w:t>
      </w:r>
      <w:r w:rsidR="007F752D" w:rsidRPr="00BE681A">
        <w:rPr>
          <w:rFonts w:ascii="Arial" w:hAnsi="Arial" w:cs="Arial"/>
        </w:rPr>
        <w:t xml:space="preserve">delivery </w:t>
      </w:r>
      <w:r w:rsidR="006F7A37" w:rsidRPr="00BE681A">
        <w:rPr>
          <w:rFonts w:ascii="Arial" w:hAnsi="Arial" w:cs="Arial"/>
        </w:rPr>
        <w:t xml:space="preserve">against our </w:t>
      </w:r>
      <w:r w:rsidR="007F752D" w:rsidRPr="00BE681A">
        <w:rPr>
          <w:rFonts w:ascii="Arial" w:hAnsi="Arial" w:cs="Arial"/>
        </w:rPr>
        <w:t>Water Resources</w:t>
      </w:r>
      <w:r w:rsidR="00E63F74" w:rsidRPr="00BE681A">
        <w:rPr>
          <w:rFonts w:ascii="Arial" w:hAnsi="Arial" w:cs="Arial"/>
        </w:rPr>
        <w:t xml:space="preserve"> </w:t>
      </w:r>
      <w:r w:rsidR="007F752D" w:rsidRPr="00BE681A">
        <w:rPr>
          <w:rFonts w:ascii="Arial" w:hAnsi="Arial" w:cs="Arial"/>
        </w:rPr>
        <w:t xml:space="preserve">Management Plan; </w:t>
      </w:r>
    </w:p>
    <w:p w:rsidR="00E63F74" w:rsidRPr="00BE681A" w:rsidRDefault="00E63F74" w:rsidP="001927BA">
      <w:pPr>
        <w:autoSpaceDE w:val="0"/>
        <w:autoSpaceDN w:val="0"/>
        <w:adjustRightInd w:val="0"/>
        <w:spacing w:after="0" w:line="240" w:lineRule="auto"/>
        <w:jc w:val="both"/>
        <w:rPr>
          <w:rFonts w:ascii="Arial" w:hAnsi="Arial" w:cs="Arial"/>
        </w:rPr>
      </w:pPr>
    </w:p>
    <w:p w:rsidR="007F752D" w:rsidRDefault="00AF41D6" w:rsidP="00557777">
      <w:pPr>
        <w:autoSpaceDE w:val="0"/>
        <w:autoSpaceDN w:val="0"/>
        <w:adjustRightInd w:val="0"/>
        <w:spacing w:after="0" w:line="240" w:lineRule="auto"/>
        <w:ind w:left="720" w:hanging="720"/>
        <w:jc w:val="both"/>
        <w:rPr>
          <w:rFonts w:ascii="Arial" w:hAnsi="Arial" w:cs="Arial"/>
        </w:rPr>
      </w:pPr>
      <w:r w:rsidRPr="00BE681A">
        <w:rPr>
          <w:rFonts w:ascii="Arial" w:hAnsi="Arial" w:cs="Arial"/>
        </w:rPr>
        <w:t>5.</w:t>
      </w:r>
      <w:r w:rsidR="00E95618" w:rsidRPr="00BE681A">
        <w:rPr>
          <w:rFonts w:ascii="Arial" w:hAnsi="Arial" w:cs="Arial"/>
        </w:rPr>
        <w:t>4</w:t>
      </w:r>
      <w:r w:rsidRPr="00BE681A">
        <w:rPr>
          <w:rFonts w:ascii="Arial" w:hAnsi="Arial" w:cs="Arial"/>
        </w:rPr>
        <w:t xml:space="preserve"> </w:t>
      </w:r>
      <w:r w:rsidR="005850BF">
        <w:rPr>
          <w:rFonts w:ascii="Arial" w:hAnsi="Arial" w:cs="Arial"/>
        </w:rPr>
        <w:tab/>
      </w:r>
      <w:r w:rsidR="007F752D" w:rsidRPr="00BE681A">
        <w:rPr>
          <w:rFonts w:ascii="Arial" w:hAnsi="Arial" w:cs="Arial"/>
        </w:rPr>
        <w:t xml:space="preserve">The points 1 to </w:t>
      </w:r>
      <w:r w:rsidR="00825018" w:rsidRPr="00BE681A">
        <w:rPr>
          <w:rFonts w:ascii="Arial" w:hAnsi="Arial" w:cs="Arial"/>
        </w:rPr>
        <w:t>4</w:t>
      </w:r>
      <w:r w:rsidR="007F752D" w:rsidRPr="00BE681A">
        <w:rPr>
          <w:rFonts w:ascii="Arial" w:hAnsi="Arial" w:cs="Arial"/>
        </w:rPr>
        <w:t xml:space="preserve"> above will be specifically included within the</w:t>
      </w:r>
      <w:r w:rsidR="00E63F74" w:rsidRPr="00BE681A">
        <w:rPr>
          <w:rFonts w:ascii="Arial" w:hAnsi="Arial" w:cs="Arial"/>
        </w:rPr>
        <w:t xml:space="preserve"> </w:t>
      </w:r>
      <w:r w:rsidR="007F752D" w:rsidRPr="00BE681A">
        <w:rPr>
          <w:rFonts w:ascii="Arial" w:hAnsi="Arial" w:cs="Arial"/>
        </w:rPr>
        <w:t>Annual Performance</w:t>
      </w:r>
      <w:r w:rsidR="007F752D" w:rsidRPr="00A760CF">
        <w:rPr>
          <w:rFonts w:ascii="Arial" w:hAnsi="Arial" w:cs="Arial"/>
        </w:rPr>
        <w:t xml:space="preserve"> Report</w:t>
      </w:r>
      <w:r w:rsidR="00825018" w:rsidRPr="00A760CF">
        <w:rPr>
          <w:rFonts w:ascii="Arial" w:hAnsi="Arial" w:cs="Arial"/>
        </w:rPr>
        <w:t xml:space="preserve"> and will be reviewed and commented upon by </w:t>
      </w:r>
      <w:r w:rsidR="008834B7">
        <w:rPr>
          <w:rFonts w:ascii="Arial" w:hAnsi="Arial" w:cs="Arial"/>
        </w:rPr>
        <w:t xml:space="preserve">the Reporter </w:t>
      </w:r>
      <w:r w:rsidR="007F752D" w:rsidRPr="00A760CF">
        <w:rPr>
          <w:rFonts w:ascii="Arial" w:hAnsi="Arial" w:cs="Arial"/>
        </w:rPr>
        <w:t>(</w:t>
      </w:r>
      <w:r w:rsidR="00BB5A44" w:rsidRPr="00A760CF">
        <w:rPr>
          <w:rFonts w:ascii="Arial" w:hAnsi="Arial" w:cs="Arial"/>
        </w:rPr>
        <w:t>Atkins</w:t>
      </w:r>
      <w:r w:rsidR="007F752D" w:rsidRPr="00A760CF">
        <w:rPr>
          <w:rFonts w:ascii="Arial" w:hAnsi="Arial" w:cs="Arial"/>
        </w:rPr>
        <w:t>).</w:t>
      </w:r>
    </w:p>
    <w:p w:rsidR="005850BF" w:rsidRDefault="005850BF" w:rsidP="001927BA">
      <w:pPr>
        <w:autoSpaceDE w:val="0"/>
        <w:autoSpaceDN w:val="0"/>
        <w:adjustRightInd w:val="0"/>
        <w:spacing w:after="0" w:line="240" w:lineRule="auto"/>
        <w:jc w:val="both"/>
        <w:rPr>
          <w:rFonts w:ascii="Arial" w:hAnsi="Arial" w:cs="Arial"/>
        </w:rPr>
      </w:pPr>
    </w:p>
    <w:p w:rsidR="005850BF" w:rsidRDefault="005850BF" w:rsidP="00557777">
      <w:pPr>
        <w:autoSpaceDE w:val="0"/>
        <w:autoSpaceDN w:val="0"/>
        <w:adjustRightInd w:val="0"/>
        <w:spacing w:after="0" w:line="240" w:lineRule="auto"/>
        <w:ind w:left="720" w:hanging="720"/>
        <w:jc w:val="both"/>
        <w:rPr>
          <w:rFonts w:ascii="Arial" w:hAnsi="Arial" w:cs="Arial"/>
        </w:rPr>
      </w:pPr>
      <w:r>
        <w:rPr>
          <w:rFonts w:ascii="Arial" w:hAnsi="Arial" w:cs="Arial"/>
        </w:rPr>
        <w:t>5.5</w:t>
      </w:r>
      <w:r>
        <w:rPr>
          <w:rFonts w:ascii="Arial" w:hAnsi="Arial" w:cs="Arial"/>
        </w:rPr>
        <w:tab/>
        <w:t>Detail of the items to be reviewed as part of this year</w:t>
      </w:r>
      <w:r w:rsidR="005539CF">
        <w:rPr>
          <w:rFonts w:ascii="Arial" w:hAnsi="Arial" w:cs="Arial"/>
        </w:rPr>
        <w:t>’</w:t>
      </w:r>
      <w:r>
        <w:rPr>
          <w:rFonts w:ascii="Arial" w:hAnsi="Arial" w:cs="Arial"/>
        </w:rPr>
        <w:t xml:space="preserve">s Audit are shown in table </w:t>
      </w:r>
      <w:r w:rsidR="005539CF">
        <w:rPr>
          <w:rFonts w:ascii="Arial" w:hAnsi="Arial" w:cs="Arial"/>
        </w:rPr>
        <w:t xml:space="preserve">2 </w:t>
      </w:r>
      <w:r>
        <w:rPr>
          <w:rFonts w:ascii="Arial" w:hAnsi="Arial" w:cs="Arial"/>
        </w:rPr>
        <w:t>below.</w:t>
      </w:r>
    </w:p>
    <w:p w:rsidR="005850BF" w:rsidRDefault="005850BF" w:rsidP="005850BF">
      <w:pPr>
        <w:rPr>
          <w:rFonts w:ascii="Arial" w:hAnsi="Arial" w:cs="Arial"/>
          <w:b/>
        </w:rPr>
      </w:pPr>
    </w:p>
    <w:p w:rsidR="00542380" w:rsidRPr="00542380" w:rsidRDefault="00542380" w:rsidP="005850BF">
      <w:pPr>
        <w:rPr>
          <w:rFonts w:ascii="Arial" w:hAnsi="Arial" w:cs="Arial"/>
          <w:b/>
        </w:rPr>
      </w:pPr>
      <w:r w:rsidRPr="00542380">
        <w:rPr>
          <w:rFonts w:ascii="Arial" w:hAnsi="Arial" w:cs="Arial"/>
          <w:b/>
        </w:rPr>
        <w:t xml:space="preserve">Table 2- </w:t>
      </w:r>
      <w:r>
        <w:rPr>
          <w:rFonts w:ascii="Arial" w:hAnsi="Arial" w:cs="Arial"/>
          <w:b/>
        </w:rPr>
        <w:t>Proposed Audit Plan (</w:t>
      </w:r>
      <w:r w:rsidR="0076296D">
        <w:rPr>
          <w:rFonts w:ascii="Arial" w:hAnsi="Arial" w:cs="Arial"/>
          <w:b/>
        </w:rPr>
        <w:t>2018/19</w:t>
      </w:r>
      <w:r>
        <w:rPr>
          <w:rFonts w:ascii="Arial" w:hAnsi="Arial" w:cs="Arial"/>
          <w:b/>
        </w:rPr>
        <w:t>)</w:t>
      </w:r>
    </w:p>
    <w:tbl>
      <w:tblPr>
        <w:tblW w:w="9351" w:type="dxa"/>
        <w:tblLook w:val="04A0" w:firstRow="1" w:lastRow="0" w:firstColumn="1" w:lastColumn="0" w:noHBand="0" w:noVBand="1"/>
      </w:tblPr>
      <w:tblGrid>
        <w:gridCol w:w="1980"/>
        <w:gridCol w:w="6379"/>
        <w:gridCol w:w="992"/>
      </w:tblGrid>
      <w:tr w:rsidR="005850BF" w:rsidRPr="0030738F" w:rsidTr="00F454FF">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0BF" w:rsidRPr="0030738F" w:rsidRDefault="005850BF" w:rsidP="00F454FF">
            <w:pPr>
              <w:spacing w:after="0" w:line="240" w:lineRule="auto"/>
              <w:rPr>
                <w:rFonts w:ascii="Arial" w:eastAsia="Times New Roman" w:hAnsi="Arial" w:cs="Arial"/>
                <w:b/>
                <w:bCs/>
                <w:color w:val="000000"/>
                <w:sz w:val="20"/>
                <w:szCs w:val="20"/>
                <w:lang w:eastAsia="en-GB"/>
              </w:rPr>
            </w:pPr>
            <w:r w:rsidRPr="0030738F">
              <w:rPr>
                <w:rFonts w:ascii="Arial" w:eastAsia="Times New Roman" w:hAnsi="Arial" w:cs="Arial"/>
                <w:b/>
                <w:bCs/>
                <w:color w:val="000000"/>
                <w:sz w:val="20"/>
                <w:szCs w:val="20"/>
                <w:lang w:eastAsia="en-GB"/>
              </w:rPr>
              <w:t>Assurance Area</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5850BF" w:rsidRPr="0030738F" w:rsidRDefault="005850BF" w:rsidP="00F454FF">
            <w:pPr>
              <w:spacing w:after="0" w:line="240" w:lineRule="auto"/>
              <w:rPr>
                <w:rFonts w:ascii="Arial" w:eastAsia="Times New Roman" w:hAnsi="Arial" w:cs="Arial"/>
                <w:b/>
                <w:bCs/>
                <w:color w:val="000000"/>
                <w:sz w:val="20"/>
                <w:szCs w:val="20"/>
                <w:lang w:eastAsia="en-GB"/>
              </w:rPr>
            </w:pPr>
            <w:r w:rsidRPr="0030738F">
              <w:rPr>
                <w:rFonts w:ascii="Arial" w:eastAsia="Times New Roman" w:hAnsi="Arial" w:cs="Arial"/>
                <w:b/>
                <w:bCs/>
                <w:color w:val="000000"/>
                <w:sz w:val="20"/>
                <w:szCs w:val="20"/>
                <w:lang w:eastAsia="en-GB"/>
              </w:rPr>
              <w:t>KPI/ODI Reference / Driver / Source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850BF" w:rsidRPr="0030738F" w:rsidRDefault="005850BF" w:rsidP="00F454FF">
            <w:pPr>
              <w:spacing w:after="0" w:line="240" w:lineRule="auto"/>
              <w:rPr>
                <w:rFonts w:ascii="Arial" w:eastAsia="Times New Roman" w:hAnsi="Arial" w:cs="Arial"/>
                <w:b/>
                <w:bCs/>
                <w:color w:val="000000"/>
                <w:sz w:val="20"/>
                <w:szCs w:val="20"/>
                <w:lang w:eastAsia="en-GB"/>
              </w:rPr>
            </w:pPr>
            <w:r w:rsidRPr="0030738F">
              <w:rPr>
                <w:rFonts w:ascii="Arial" w:eastAsia="Times New Roman" w:hAnsi="Arial" w:cs="Arial"/>
                <w:b/>
                <w:bCs/>
                <w:color w:val="000000"/>
                <w:sz w:val="20"/>
                <w:szCs w:val="20"/>
                <w:lang w:eastAsia="en-GB"/>
              </w:rPr>
              <w:t>ODI</w:t>
            </w:r>
          </w:p>
        </w:tc>
      </w:tr>
      <w:tr w:rsidR="005850BF" w:rsidRPr="0030738F" w:rsidTr="00F454FF">
        <w:trPr>
          <w:trHeight w:val="340"/>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00CCFF"/>
            <w:vAlign w:val="center"/>
            <w:hideMark/>
          </w:tcPr>
          <w:p w:rsidR="005850BF" w:rsidRPr="0030738F" w:rsidRDefault="005850BF" w:rsidP="00F454FF">
            <w:pPr>
              <w:spacing w:after="0" w:line="240" w:lineRule="auto"/>
              <w:jc w:val="center"/>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Serviceability Water Infrastructure</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Interruptions to supply (incl. shadow)</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F454FF">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Mains bursts</w:t>
            </w:r>
            <w:r>
              <w:rPr>
                <w:rFonts w:ascii="Arial" w:eastAsia="Times New Roman" w:hAnsi="Arial" w:cs="Arial"/>
                <w:color w:val="000000"/>
                <w:sz w:val="20"/>
                <w:szCs w:val="20"/>
                <w:lang w:eastAsia="en-GB"/>
              </w:rPr>
              <w:t xml:space="preserve"> (incl. shadow)</w:t>
            </w:r>
          </w:p>
        </w:tc>
        <w:tc>
          <w:tcPr>
            <w:tcW w:w="992" w:type="dxa"/>
            <w:tcBorders>
              <w:top w:val="nil"/>
              <w:left w:val="nil"/>
              <w:bottom w:val="single" w:sz="4" w:space="0" w:color="auto"/>
              <w:right w:val="single" w:sz="4" w:space="0" w:color="auto"/>
            </w:tcBorders>
            <w:shd w:val="clear" w:color="auto" w:fill="auto"/>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F454FF">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Pumping head, communication pipes </w:t>
            </w:r>
            <w:r w:rsidRPr="0030738F">
              <w:rPr>
                <w:rFonts w:ascii="Arial" w:eastAsia="Times New Roman" w:hAnsi="Arial" w:cs="Arial"/>
                <w:color w:val="000000"/>
                <w:sz w:val="20"/>
                <w:szCs w:val="20"/>
                <w:lang w:eastAsia="en-GB"/>
              </w:rPr>
              <w:t xml:space="preserve">etc. </w:t>
            </w:r>
            <w:r>
              <w:rPr>
                <w:rFonts w:ascii="Arial" w:eastAsia="Times New Roman" w:hAnsi="Arial" w:cs="Arial"/>
                <w:color w:val="000000"/>
                <w:sz w:val="20"/>
                <w:szCs w:val="20"/>
                <w:lang w:eastAsia="en-GB"/>
              </w:rPr>
              <w:t>– activity indicators</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F454FF">
        <w:trPr>
          <w:trHeight w:val="340"/>
        </w:trPr>
        <w:tc>
          <w:tcPr>
            <w:tcW w:w="1980" w:type="dxa"/>
            <w:vMerge w:val="restart"/>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5850BF" w:rsidRPr="0030738F" w:rsidRDefault="005850BF" w:rsidP="00F454FF">
            <w:pPr>
              <w:spacing w:after="0" w:line="240" w:lineRule="auto"/>
              <w:jc w:val="center"/>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Leakage &amp; PCC</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Leakage (incl. shadow)</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F454FF">
        <w:trPr>
          <w:trHeight w:val="3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Properties &amp; Population</w:t>
            </w:r>
          </w:p>
        </w:tc>
        <w:tc>
          <w:tcPr>
            <w:tcW w:w="992" w:type="dxa"/>
            <w:tcBorders>
              <w:top w:val="nil"/>
              <w:left w:val="nil"/>
              <w:bottom w:val="single" w:sz="4" w:space="0" w:color="auto"/>
              <w:right w:val="single" w:sz="4" w:space="0" w:color="auto"/>
            </w:tcBorders>
            <w:shd w:val="clear" w:color="auto" w:fill="auto"/>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F454FF">
        <w:trPr>
          <w:trHeight w:val="3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 xml:space="preserve">Water Balance </w:t>
            </w:r>
            <w:r>
              <w:rPr>
                <w:rFonts w:ascii="Arial" w:eastAsia="Times New Roman" w:hAnsi="Arial" w:cs="Arial"/>
                <w:color w:val="000000"/>
                <w:sz w:val="20"/>
                <w:szCs w:val="20"/>
                <w:lang w:eastAsia="en-GB"/>
              </w:rPr>
              <w:t>(</w:t>
            </w:r>
            <w:r w:rsidRPr="0030738F">
              <w:rPr>
                <w:rFonts w:ascii="Arial" w:eastAsia="Times New Roman" w:hAnsi="Arial" w:cs="Arial"/>
                <w:color w:val="000000"/>
                <w:sz w:val="20"/>
                <w:szCs w:val="20"/>
                <w:lang w:eastAsia="en-GB"/>
              </w:rPr>
              <w:t>incl</w:t>
            </w:r>
            <w:r w:rsidR="007F1C6A">
              <w:rPr>
                <w:rFonts w:ascii="Arial" w:eastAsia="Times New Roman" w:hAnsi="Arial" w:cs="Arial"/>
                <w:color w:val="000000"/>
                <w:sz w:val="20"/>
                <w:szCs w:val="20"/>
                <w:lang w:eastAsia="en-GB"/>
              </w:rPr>
              <w:t>.</w:t>
            </w:r>
            <w:r w:rsidRPr="0030738F">
              <w:rPr>
                <w:rFonts w:ascii="Arial" w:eastAsia="Times New Roman" w:hAnsi="Arial" w:cs="Arial"/>
                <w:color w:val="000000"/>
                <w:sz w:val="20"/>
                <w:szCs w:val="20"/>
                <w:lang w:eastAsia="en-GB"/>
              </w:rPr>
              <w:t xml:space="preserve"> TUBs)</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F454FF">
        <w:trPr>
          <w:trHeight w:val="3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PCC estimation</w:t>
            </w:r>
            <w:r>
              <w:rPr>
                <w:rFonts w:ascii="Arial" w:eastAsia="Times New Roman" w:hAnsi="Arial" w:cs="Arial"/>
                <w:color w:val="000000"/>
                <w:sz w:val="20"/>
                <w:szCs w:val="20"/>
                <w:lang w:eastAsia="en-GB"/>
              </w:rPr>
              <w:t xml:space="preserve"> (incl. shadow)</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F454FF">
        <w:trPr>
          <w:trHeight w:val="340"/>
        </w:trPr>
        <w:tc>
          <w:tcPr>
            <w:tcW w:w="1980" w:type="dxa"/>
            <w:vMerge w:val="restart"/>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5850BF" w:rsidRPr="0030738F" w:rsidRDefault="005850BF" w:rsidP="00F454FF">
            <w:pPr>
              <w:spacing w:after="0" w:line="240" w:lineRule="auto"/>
              <w:jc w:val="center"/>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Customer Service</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Written complaints</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F454FF">
        <w:trPr>
          <w:trHeight w:val="3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Escalated written complaints</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r>
      <w:tr w:rsidR="005850BF" w:rsidRPr="0030738F" w:rsidTr="00F454FF">
        <w:trPr>
          <w:trHeight w:val="3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CCWater investigated complaints</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r>
      <w:tr w:rsidR="005850BF" w:rsidRPr="0030738F" w:rsidTr="00F454FF">
        <w:trPr>
          <w:trHeight w:val="3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Unwanted telephone contacts</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r>
      <w:tr w:rsidR="005850BF" w:rsidRPr="0030738F" w:rsidTr="00F454FF">
        <w:trPr>
          <w:trHeight w:val="3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Qualitative satisfaction measure - adequacy of sample</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r>
      <w:tr w:rsidR="005850BF" w:rsidRPr="0030738F" w:rsidTr="00F454FF">
        <w:trPr>
          <w:trHeight w:val="340"/>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B7DEE8"/>
            <w:noWrap/>
            <w:vAlign w:val="center"/>
            <w:hideMark/>
          </w:tcPr>
          <w:p w:rsidR="005850BF" w:rsidRPr="0030738F" w:rsidRDefault="005850BF" w:rsidP="00F454FF">
            <w:pPr>
              <w:spacing w:after="0" w:line="240" w:lineRule="auto"/>
              <w:jc w:val="center"/>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 xml:space="preserve">Developer Services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Questionnaire - Formulation and returns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F454FF">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Developer services - compliance with Levels of Service</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F454FF">
        <w:trPr>
          <w:trHeight w:val="340"/>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C4D79B"/>
            <w:noWrap/>
            <w:vAlign w:val="center"/>
            <w:hideMark/>
          </w:tcPr>
          <w:p w:rsidR="005850BF" w:rsidRPr="0030738F" w:rsidRDefault="005850BF" w:rsidP="00F454FF">
            <w:pPr>
              <w:spacing w:after="0" w:line="240" w:lineRule="auto"/>
              <w:jc w:val="center"/>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Environmental performance</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Compliance with abstraction licences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F454FF">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National Environment Programme</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F454FF">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Abstraction Incentive Mechanism (AIM)</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F454FF">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Biodiversity Action Plan</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F454FF">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 xml:space="preserve">Carbon Accounting </w:t>
            </w:r>
            <w:r>
              <w:rPr>
                <w:rFonts w:ascii="Arial" w:eastAsia="Times New Roman" w:hAnsi="Arial" w:cs="Arial"/>
                <w:color w:val="000000"/>
                <w:sz w:val="20"/>
                <w:szCs w:val="20"/>
                <w:lang w:eastAsia="en-GB"/>
              </w:rPr>
              <w:t xml:space="preserve">incl. </w:t>
            </w:r>
            <w:r w:rsidR="007F1C6A">
              <w:rPr>
                <w:rFonts w:ascii="Arial" w:eastAsia="Times New Roman" w:hAnsi="Arial" w:cs="Arial"/>
                <w:color w:val="000000"/>
                <w:sz w:val="20"/>
                <w:szCs w:val="20"/>
                <w:lang w:eastAsia="en-GB"/>
              </w:rPr>
              <w:t>Greenhouse</w:t>
            </w:r>
            <w:r>
              <w:rPr>
                <w:rFonts w:ascii="Arial" w:eastAsia="Times New Roman" w:hAnsi="Arial" w:cs="Arial"/>
                <w:color w:val="000000"/>
                <w:sz w:val="20"/>
                <w:szCs w:val="20"/>
                <w:lang w:eastAsia="en-GB"/>
              </w:rPr>
              <w:t xml:space="preserve"> gases</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F454FF">
        <w:trPr>
          <w:trHeight w:val="340"/>
        </w:trPr>
        <w:tc>
          <w:tcPr>
            <w:tcW w:w="1980" w:type="dxa"/>
            <w:vMerge w:val="restart"/>
            <w:tcBorders>
              <w:top w:val="single" w:sz="4" w:space="0" w:color="auto"/>
              <w:left w:val="single" w:sz="4" w:space="0" w:color="auto"/>
              <w:bottom w:val="single" w:sz="4" w:space="0" w:color="auto"/>
              <w:right w:val="single" w:sz="4" w:space="0" w:color="auto"/>
            </w:tcBorders>
            <w:shd w:val="clear" w:color="000000" w:fill="FF9900"/>
            <w:vAlign w:val="center"/>
            <w:hideMark/>
          </w:tcPr>
          <w:p w:rsidR="005850BF" w:rsidRPr="0030738F" w:rsidRDefault="005850BF" w:rsidP="00F454FF">
            <w:pPr>
              <w:spacing w:after="0" w:line="240" w:lineRule="auto"/>
              <w:jc w:val="center"/>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GSS and Customer Charter</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 xml:space="preserve">GSS interruptions and low pressure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F454FF">
        <w:trPr>
          <w:trHeight w:val="3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 xml:space="preserve">GSS Appointments </w:t>
            </w:r>
          </w:p>
        </w:tc>
        <w:tc>
          <w:tcPr>
            <w:tcW w:w="992" w:type="dxa"/>
            <w:tcBorders>
              <w:top w:val="nil"/>
              <w:left w:val="nil"/>
              <w:bottom w:val="single" w:sz="4" w:space="0" w:color="auto"/>
              <w:right w:val="single" w:sz="4" w:space="0" w:color="auto"/>
            </w:tcBorders>
            <w:shd w:val="clear" w:color="auto" w:fill="auto"/>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F454FF">
        <w:trPr>
          <w:trHeight w:val="3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 xml:space="preserve">GSS Payments </w:t>
            </w:r>
          </w:p>
        </w:tc>
        <w:tc>
          <w:tcPr>
            <w:tcW w:w="992" w:type="dxa"/>
            <w:tcBorders>
              <w:top w:val="nil"/>
              <w:left w:val="nil"/>
              <w:bottom w:val="single" w:sz="4" w:space="0" w:color="auto"/>
              <w:right w:val="single" w:sz="4" w:space="0" w:color="auto"/>
            </w:tcBorders>
            <w:shd w:val="clear" w:color="auto" w:fill="auto"/>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F454FF">
        <w:trPr>
          <w:trHeight w:val="340"/>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00FF00"/>
            <w:vAlign w:val="center"/>
            <w:hideMark/>
          </w:tcPr>
          <w:p w:rsidR="005850BF" w:rsidRPr="0030738F" w:rsidRDefault="005850BF" w:rsidP="00F454FF">
            <w:pPr>
              <w:spacing w:after="0" w:line="240" w:lineRule="auto"/>
              <w:jc w:val="center"/>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Water Savings Activities</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 xml:space="preserve">Meter Installations and Renewals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F454FF">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 xml:space="preserve">Water savings initiatives </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F454FF">
        <w:trPr>
          <w:trHeight w:val="340"/>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5850BF" w:rsidRPr="0030738F" w:rsidRDefault="005850BF" w:rsidP="00F454FF">
            <w:pPr>
              <w:spacing w:after="0" w:line="240" w:lineRule="auto"/>
              <w:jc w:val="center"/>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Other audits</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Health &amp; Safe</w:t>
            </w:r>
            <w:r>
              <w:rPr>
                <w:rFonts w:ascii="Arial" w:eastAsia="Times New Roman" w:hAnsi="Arial" w:cs="Arial"/>
                <w:color w:val="000000"/>
                <w:sz w:val="20"/>
                <w:szCs w:val="20"/>
                <w:lang w:eastAsia="en-GB"/>
              </w:rPr>
              <w:t>t</w:t>
            </w:r>
            <w:r w:rsidRPr="0030738F">
              <w:rPr>
                <w:rFonts w:ascii="Arial" w:eastAsia="Times New Roman" w:hAnsi="Arial" w:cs="Arial"/>
                <w:color w:val="000000"/>
                <w:sz w:val="20"/>
                <w:szCs w:val="20"/>
                <w:lang w:eastAsia="en-GB"/>
              </w:rPr>
              <w:t xml:space="preserve">y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F454FF">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Open Water - audit of wholesale desk</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F454FF">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 xml:space="preserve">Water Regulations </w:t>
            </w:r>
            <w:r>
              <w:rPr>
                <w:rFonts w:ascii="Arial" w:eastAsia="Times New Roman" w:hAnsi="Arial" w:cs="Arial"/>
                <w:color w:val="000000"/>
                <w:sz w:val="20"/>
                <w:szCs w:val="20"/>
                <w:lang w:eastAsia="en-GB"/>
              </w:rPr>
              <w:t xml:space="preserve">- </w:t>
            </w:r>
            <w:r w:rsidRPr="0030738F">
              <w:rPr>
                <w:rFonts w:ascii="Arial" w:eastAsia="Times New Roman" w:hAnsi="Arial" w:cs="Arial"/>
                <w:color w:val="000000"/>
                <w:sz w:val="20"/>
                <w:szCs w:val="20"/>
                <w:lang w:eastAsia="en-GB"/>
              </w:rPr>
              <w:t>WRSA performance</w:t>
            </w:r>
            <w:r>
              <w:rPr>
                <w:rFonts w:ascii="Arial" w:eastAsia="Times New Roman" w:hAnsi="Arial" w:cs="Arial"/>
                <w:color w:val="000000"/>
                <w:sz w:val="20"/>
                <w:szCs w:val="20"/>
                <w:lang w:eastAsia="en-GB"/>
              </w:rPr>
              <w:t xml:space="preserve"> metrics</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F454FF">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Water Quality Contacts and GSS</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Yes</w:t>
            </w:r>
          </w:p>
        </w:tc>
      </w:tr>
      <w:tr w:rsidR="005850BF" w:rsidRPr="0030738F" w:rsidTr="00F454FF">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Social Tariff, Watersure and other programmes of assistance</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r w:rsidR="005850BF" w:rsidRPr="0030738F" w:rsidTr="00F454FF">
        <w:trPr>
          <w:trHeight w:val="340"/>
        </w:trPr>
        <w:tc>
          <w:tcPr>
            <w:tcW w:w="1980" w:type="dxa"/>
            <w:vMerge/>
            <w:tcBorders>
              <w:top w:val="single" w:sz="4" w:space="0" w:color="auto"/>
              <w:left w:val="single" w:sz="4" w:space="0" w:color="auto"/>
              <w:bottom w:val="single" w:sz="4" w:space="0" w:color="000000"/>
              <w:right w:val="single" w:sz="4" w:space="0" w:color="auto"/>
            </w:tcBorders>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p>
        </w:tc>
        <w:tc>
          <w:tcPr>
            <w:tcW w:w="6379"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Capital Programme</w:t>
            </w:r>
          </w:p>
        </w:tc>
        <w:tc>
          <w:tcPr>
            <w:tcW w:w="992" w:type="dxa"/>
            <w:tcBorders>
              <w:top w:val="nil"/>
              <w:left w:val="nil"/>
              <w:bottom w:val="single" w:sz="4" w:space="0" w:color="auto"/>
              <w:right w:val="single" w:sz="4" w:space="0" w:color="auto"/>
            </w:tcBorders>
            <w:shd w:val="clear" w:color="auto" w:fill="auto"/>
            <w:noWrap/>
            <w:vAlign w:val="center"/>
            <w:hideMark/>
          </w:tcPr>
          <w:p w:rsidR="005850BF" w:rsidRPr="0030738F" w:rsidRDefault="005850BF" w:rsidP="00F454FF">
            <w:pPr>
              <w:spacing w:after="0" w:line="240" w:lineRule="auto"/>
              <w:rPr>
                <w:rFonts w:ascii="Arial" w:eastAsia="Times New Roman" w:hAnsi="Arial" w:cs="Arial"/>
                <w:color w:val="000000"/>
                <w:sz w:val="20"/>
                <w:szCs w:val="20"/>
                <w:lang w:eastAsia="en-GB"/>
              </w:rPr>
            </w:pPr>
            <w:r w:rsidRPr="0030738F">
              <w:rPr>
                <w:rFonts w:ascii="Arial" w:eastAsia="Times New Roman" w:hAnsi="Arial" w:cs="Arial"/>
                <w:color w:val="000000"/>
                <w:sz w:val="20"/>
                <w:szCs w:val="20"/>
                <w:lang w:eastAsia="en-GB"/>
              </w:rPr>
              <w:t>No</w:t>
            </w:r>
          </w:p>
        </w:tc>
      </w:tr>
    </w:tbl>
    <w:p w:rsidR="005850BF" w:rsidRPr="00E96DA5" w:rsidRDefault="005850BF" w:rsidP="005850BF">
      <w:pPr>
        <w:spacing w:after="0"/>
        <w:jc w:val="both"/>
        <w:rPr>
          <w:rFonts w:ascii="Arial" w:hAnsi="Arial" w:cs="Arial"/>
        </w:rPr>
      </w:pPr>
    </w:p>
    <w:p w:rsidR="0015715B" w:rsidRDefault="0015715B" w:rsidP="0015715B">
      <w:pPr>
        <w:autoSpaceDE w:val="0"/>
        <w:autoSpaceDN w:val="0"/>
        <w:adjustRightInd w:val="0"/>
        <w:spacing w:after="0" w:line="240" w:lineRule="auto"/>
        <w:jc w:val="both"/>
        <w:rPr>
          <w:rFonts w:ascii="Arial" w:hAnsi="Arial" w:cs="Arial"/>
        </w:rPr>
      </w:pPr>
    </w:p>
    <w:p w:rsidR="0015715B" w:rsidRDefault="0015715B" w:rsidP="0015715B">
      <w:pPr>
        <w:autoSpaceDE w:val="0"/>
        <w:autoSpaceDN w:val="0"/>
        <w:adjustRightInd w:val="0"/>
        <w:spacing w:after="0" w:line="240" w:lineRule="auto"/>
        <w:ind w:left="720" w:hanging="720"/>
        <w:jc w:val="both"/>
        <w:rPr>
          <w:rFonts w:ascii="Arial" w:hAnsi="Arial" w:cs="Arial"/>
        </w:rPr>
      </w:pPr>
      <w:r>
        <w:rPr>
          <w:rFonts w:ascii="Arial" w:hAnsi="Arial" w:cs="Arial"/>
        </w:rPr>
        <w:t>5.6</w:t>
      </w:r>
      <w:r>
        <w:rPr>
          <w:rFonts w:ascii="Arial" w:hAnsi="Arial" w:cs="Arial"/>
        </w:rPr>
        <w:tab/>
        <w:t xml:space="preserve">Our regulatory financial information, including accounting separation and other related disclosures are subject to an independent audit opinion in a format agreed with Ofwat.  This covers the financial reporting tables 1A, 1B, </w:t>
      </w:r>
      <w:r w:rsidR="004E1C1D">
        <w:rPr>
          <w:rFonts w:ascii="Arial" w:hAnsi="Arial" w:cs="Arial"/>
        </w:rPr>
        <w:t>1C, 1D and 1E, the segmental reporting tables 2A, 2B, 2C, 2D, 2E, 2F, 2I and 2J.  In addition a report in relation to Condition F is published be exception.</w:t>
      </w:r>
    </w:p>
    <w:p w:rsidR="004E1C1D" w:rsidRDefault="004E1C1D" w:rsidP="0015715B">
      <w:pPr>
        <w:autoSpaceDE w:val="0"/>
        <w:autoSpaceDN w:val="0"/>
        <w:adjustRightInd w:val="0"/>
        <w:spacing w:after="0" w:line="240" w:lineRule="auto"/>
        <w:ind w:left="720" w:hanging="720"/>
        <w:jc w:val="both"/>
        <w:rPr>
          <w:rFonts w:ascii="Arial" w:hAnsi="Arial" w:cs="Arial"/>
        </w:rPr>
      </w:pPr>
    </w:p>
    <w:p w:rsidR="004E1C1D" w:rsidRDefault="004E1C1D" w:rsidP="0015715B">
      <w:pPr>
        <w:autoSpaceDE w:val="0"/>
        <w:autoSpaceDN w:val="0"/>
        <w:adjustRightInd w:val="0"/>
        <w:spacing w:after="0" w:line="240" w:lineRule="auto"/>
        <w:ind w:left="720" w:hanging="720"/>
        <w:jc w:val="both"/>
        <w:rPr>
          <w:rFonts w:ascii="Arial" w:hAnsi="Arial" w:cs="Arial"/>
        </w:rPr>
      </w:pPr>
      <w:r>
        <w:rPr>
          <w:rFonts w:ascii="Arial" w:hAnsi="Arial" w:cs="Arial"/>
        </w:rPr>
        <w:t>5.7</w:t>
      </w:r>
      <w:r>
        <w:rPr>
          <w:rFonts w:ascii="Arial" w:hAnsi="Arial" w:cs="Arial"/>
        </w:rPr>
        <w:tab/>
        <w:t>In addition, further assurance in the form of “agree upon procedures” is obtained in respect of the remaining financial tables.</w:t>
      </w:r>
    </w:p>
    <w:p w:rsidR="005850BF" w:rsidRDefault="005850BF" w:rsidP="001927BA">
      <w:pPr>
        <w:autoSpaceDE w:val="0"/>
        <w:autoSpaceDN w:val="0"/>
        <w:adjustRightInd w:val="0"/>
        <w:spacing w:after="0" w:line="240" w:lineRule="auto"/>
        <w:jc w:val="both"/>
        <w:rPr>
          <w:rFonts w:ascii="Arial" w:hAnsi="Arial" w:cs="Arial"/>
        </w:rPr>
      </w:pPr>
    </w:p>
    <w:p w:rsidR="00E63F74" w:rsidRPr="00A760CF" w:rsidRDefault="00E63F74" w:rsidP="001927BA">
      <w:pPr>
        <w:autoSpaceDE w:val="0"/>
        <w:autoSpaceDN w:val="0"/>
        <w:adjustRightInd w:val="0"/>
        <w:spacing w:after="0" w:line="240" w:lineRule="auto"/>
        <w:jc w:val="both"/>
        <w:rPr>
          <w:rFonts w:ascii="Arial" w:hAnsi="Arial" w:cs="Arial"/>
        </w:rPr>
      </w:pPr>
    </w:p>
    <w:p w:rsidR="00E96DA5" w:rsidRDefault="00557777" w:rsidP="00E96DA5">
      <w:pPr>
        <w:spacing w:after="0"/>
        <w:jc w:val="both"/>
        <w:rPr>
          <w:rFonts w:ascii="Arial" w:hAnsi="Arial" w:cs="Arial"/>
          <w:b/>
          <w:sz w:val="24"/>
          <w:szCs w:val="24"/>
        </w:rPr>
      </w:pPr>
      <w:r>
        <w:rPr>
          <w:rFonts w:ascii="Arial" w:hAnsi="Arial" w:cs="Arial"/>
          <w:b/>
          <w:sz w:val="24"/>
          <w:szCs w:val="24"/>
        </w:rPr>
        <w:t>6.</w:t>
      </w:r>
      <w:r>
        <w:rPr>
          <w:rFonts w:ascii="Arial" w:hAnsi="Arial" w:cs="Arial"/>
          <w:b/>
          <w:sz w:val="24"/>
          <w:szCs w:val="24"/>
        </w:rPr>
        <w:tab/>
      </w:r>
      <w:r w:rsidR="00E96DA5" w:rsidRPr="00E96DA5">
        <w:rPr>
          <w:rFonts w:ascii="Arial" w:hAnsi="Arial" w:cs="Arial"/>
          <w:b/>
          <w:sz w:val="24"/>
          <w:szCs w:val="24"/>
        </w:rPr>
        <w:t>Next Steps</w:t>
      </w:r>
    </w:p>
    <w:p w:rsidR="00E96DA5" w:rsidRDefault="00E96DA5" w:rsidP="00E96DA5">
      <w:pPr>
        <w:spacing w:after="0"/>
        <w:jc w:val="both"/>
        <w:rPr>
          <w:rFonts w:ascii="Arial" w:hAnsi="Arial" w:cs="Arial"/>
          <w:b/>
          <w:sz w:val="24"/>
          <w:szCs w:val="24"/>
        </w:rPr>
      </w:pPr>
    </w:p>
    <w:p w:rsidR="005850BF" w:rsidRDefault="00E96DA5" w:rsidP="00557777">
      <w:pPr>
        <w:spacing w:after="0"/>
        <w:ind w:left="720" w:hanging="720"/>
        <w:jc w:val="both"/>
        <w:rPr>
          <w:rFonts w:ascii="Arial" w:hAnsi="Arial" w:cs="Arial"/>
        </w:rPr>
      </w:pPr>
      <w:r>
        <w:rPr>
          <w:rFonts w:ascii="Arial" w:hAnsi="Arial" w:cs="Arial"/>
        </w:rPr>
        <w:t xml:space="preserve">6.1 </w:t>
      </w:r>
      <w:r w:rsidR="00557777">
        <w:rPr>
          <w:rFonts w:ascii="Arial" w:hAnsi="Arial" w:cs="Arial"/>
        </w:rPr>
        <w:tab/>
      </w:r>
      <w:r w:rsidRPr="00E96DA5">
        <w:rPr>
          <w:rFonts w:ascii="Arial" w:hAnsi="Arial" w:cs="Arial"/>
        </w:rPr>
        <w:t xml:space="preserve">This plan will be published on our website and distributed to our stakeholders.  We will </w:t>
      </w:r>
      <w:r w:rsidR="005850BF">
        <w:rPr>
          <w:rFonts w:ascii="Arial" w:hAnsi="Arial" w:cs="Arial"/>
        </w:rPr>
        <w:t xml:space="preserve">provided to </w:t>
      </w:r>
      <w:r w:rsidRPr="00E96DA5">
        <w:rPr>
          <w:rFonts w:ascii="Arial" w:hAnsi="Arial" w:cs="Arial"/>
        </w:rPr>
        <w:t xml:space="preserve">Customer Challenge Group </w:t>
      </w:r>
      <w:r w:rsidR="005850BF">
        <w:rPr>
          <w:rFonts w:ascii="Arial" w:hAnsi="Arial" w:cs="Arial"/>
        </w:rPr>
        <w:t>for their information.</w:t>
      </w:r>
    </w:p>
    <w:p w:rsidR="00E60E6C" w:rsidRDefault="005850BF" w:rsidP="00E96DA5">
      <w:pPr>
        <w:spacing w:after="0"/>
        <w:jc w:val="both"/>
        <w:rPr>
          <w:rFonts w:ascii="Arial" w:hAnsi="Arial" w:cs="Arial"/>
        </w:rPr>
      </w:pPr>
      <w:r>
        <w:rPr>
          <w:rFonts w:ascii="Arial" w:hAnsi="Arial" w:cs="Arial"/>
        </w:rPr>
        <w:t xml:space="preserve"> </w:t>
      </w:r>
    </w:p>
    <w:p w:rsidR="00E60E6C" w:rsidRDefault="00E60E6C" w:rsidP="00E96DA5">
      <w:pPr>
        <w:spacing w:after="0"/>
        <w:jc w:val="both"/>
        <w:rPr>
          <w:rFonts w:ascii="Arial" w:hAnsi="Arial" w:cs="Arial"/>
        </w:rPr>
      </w:pPr>
      <w:r w:rsidRPr="007367C8">
        <w:rPr>
          <w:rFonts w:ascii="Arial" w:hAnsi="Arial" w:cs="Arial"/>
        </w:rPr>
        <w:t xml:space="preserve">6.2 </w:t>
      </w:r>
      <w:r w:rsidR="00557777">
        <w:rPr>
          <w:rFonts w:ascii="Arial" w:hAnsi="Arial" w:cs="Arial"/>
        </w:rPr>
        <w:tab/>
      </w:r>
      <w:r w:rsidRPr="007367C8">
        <w:rPr>
          <w:rFonts w:ascii="Arial" w:hAnsi="Arial" w:cs="Arial"/>
        </w:rPr>
        <w:t xml:space="preserve">Our Annual Performance Review for </w:t>
      </w:r>
      <w:r w:rsidR="0076296D" w:rsidRPr="007367C8">
        <w:rPr>
          <w:rFonts w:ascii="Arial" w:hAnsi="Arial" w:cs="Arial"/>
        </w:rPr>
        <w:t>2018/19</w:t>
      </w:r>
      <w:r w:rsidRPr="007367C8">
        <w:rPr>
          <w:rFonts w:ascii="Arial" w:hAnsi="Arial" w:cs="Arial"/>
        </w:rPr>
        <w:t xml:space="preserve"> will then be published by 15 July 201</w:t>
      </w:r>
      <w:r w:rsidR="007367C8" w:rsidRPr="007367C8">
        <w:rPr>
          <w:rFonts w:ascii="Arial" w:hAnsi="Arial" w:cs="Arial"/>
        </w:rPr>
        <w:t>9</w:t>
      </w:r>
      <w:r w:rsidRPr="007367C8">
        <w:rPr>
          <w:rFonts w:ascii="Arial" w:hAnsi="Arial" w:cs="Arial"/>
        </w:rPr>
        <w:t>.</w:t>
      </w:r>
    </w:p>
    <w:p w:rsidR="002F738F" w:rsidRDefault="002F738F" w:rsidP="00E96DA5">
      <w:pPr>
        <w:spacing w:after="0"/>
        <w:jc w:val="both"/>
        <w:rPr>
          <w:rFonts w:ascii="Arial" w:hAnsi="Arial" w:cs="Arial"/>
        </w:rPr>
      </w:pPr>
    </w:p>
    <w:p w:rsidR="0094026C" w:rsidRDefault="0094026C">
      <w:pPr>
        <w:rPr>
          <w:rFonts w:ascii="Arial" w:hAnsi="Arial" w:cs="Arial"/>
        </w:rPr>
      </w:pPr>
      <w:r>
        <w:rPr>
          <w:rFonts w:ascii="Arial" w:hAnsi="Arial" w:cs="Arial"/>
        </w:rPr>
        <w:br w:type="page"/>
      </w:r>
    </w:p>
    <w:p w:rsidR="0094026C" w:rsidRPr="00EB4F59" w:rsidRDefault="0094026C" w:rsidP="0094026C">
      <w:pPr>
        <w:autoSpaceDE w:val="0"/>
        <w:autoSpaceDN w:val="0"/>
        <w:adjustRightInd w:val="0"/>
        <w:spacing w:after="0" w:line="240" w:lineRule="auto"/>
        <w:rPr>
          <w:rFonts w:ascii="Arial" w:hAnsi="Arial" w:cs="Arial"/>
          <w:b/>
          <w:sz w:val="24"/>
          <w:szCs w:val="24"/>
        </w:rPr>
      </w:pPr>
      <w:r w:rsidRPr="00EB4F59">
        <w:rPr>
          <w:rFonts w:ascii="Arial" w:hAnsi="Arial" w:cs="Arial"/>
          <w:b/>
          <w:sz w:val="24"/>
          <w:szCs w:val="24"/>
        </w:rPr>
        <w:t xml:space="preserve">Appendix 1 </w:t>
      </w:r>
    </w:p>
    <w:p w:rsidR="0094026C" w:rsidRPr="00EB4F59" w:rsidRDefault="0094026C" w:rsidP="0094026C">
      <w:pPr>
        <w:autoSpaceDE w:val="0"/>
        <w:autoSpaceDN w:val="0"/>
        <w:adjustRightInd w:val="0"/>
        <w:spacing w:after="0" w:line="240" w:lineRule="auto"/>
        <w:rPr>
          <w:rFonts w:ascii="Arial" w:hAnsi="Arial" w:cs="Arial"/>
          <w:b/>
          <w:sz w:val="24"/>
          <w:szCs w:val="24"/>
        </w:rPr>
      </w:pPr>
    </w:p>
    <w:p w:rsidR="0094026C" w:rsidRPr="00EB4F59" w:rsidRDefault="0094026C" w:rsidP="0094026C">
      <w:pPr>
        <w:autoSpaceDE w:val="0"/>
        <w:autoSpaceDN w:val="0"/>
        <w:adjustRightInd w:val="0"/>
        <w:spacing w:after="0" w:line="240" w:lineRule="auto"/>
        <w:rPr>
          <w:rFonts w:ascii="Arial" w:hAnsi="Arial" w:cs="Arial"/>
          <w:b/>
          <w:sz w:val="24"/>
          <w:szCs w:val="24"/>
        </w:rPr>
      </w:pPr>
      <w:r w:rsidRPr="00EB4F59">
        <w:rPr>
          <w:rFonts w:ascii="Arial" w:hAnsi="Arial" w:cs="Arial"/>
          <w:b/>
          <w:sz w:val="24"/>
          <w:szCs w:val="24"/>
        </w:rPr>
        <w:t>Outcome of Risk Assessment</w:t>
      </w:r>
    </w:p>
    <w:p w:rsidR="0094026C" w:rsidRDefault="0094026C" w:rsidP="0094026C">
      <w:pPr>
        <w:autoSpaceDE w:val="0"/>
        <w:autoSpaceDN w:val="0"/>
        <w:adjustRightInd w:val="0"/>
        <w:spacing w:after="0" w:line="240" w:lineRule="auto"/>
        <w:rPr>
          <w:rFonts w:ascii="Arial" w:hAnsi="Arial" w:cs="Arial"/>
          <w:b/>
        </w:rPr>
      </w:pPr>
    </w:p>
    <w:p w:rsidR="0094026C" w:rsidRDefault="0094026C" w:rsidP="0094026C">
      <w:pPr>
        <w:autoSpaceDE w:val="0"/>
        <w:autoSpaceDN w:val="0"/>
        <w:adjustRightInd w:val="0"/>
        <w:spacing w:after="0" w:line="240" w:lineRule="auto"/>
        <w:rPr>
          <w:rFonts w:ascii="Arial" w:hAnsi="Arial" w:cs="Arial"/>
        </w:rPr>
      </w:pPr>
      <w:r w:rsidRPr="009E11C2">
        <w:rPr>
          <w:rFonts w:ascii="Arial" w:hAnsi="Arial" w:cs="Arial"/>
        </w:rPr>
        <w:t>In November 201</w:t>
      </w:r>
      <w:r>
        <w:rPr>
          <w:rFonts w:ascii="Arial" w:hAnsi="Arial" w:cs="Arial"/>
        </w:rPr>
        <w:t>7</w:t>
      </w:r>
      <w:r w:rsidRPr="009E11C2">
        <w:rPr>
          <w:rFonts w:ascii="Arial" w:hAnsi="Arial" w:cs="Arial"/>
        </w:rPr>
        <w:t xml:space="preserve"> the Company published the outcome of its risk assessment of the data it</w:t>
      </w:r>
      <w:r>
        <w:rPr>
          <w:rFonts w:ascii="Arial" w:hAnsi="Arial" w:cs="Arial"/>
        </w:rPr>
        <w:t xml:space="preserve"> places in the public domain.  This was the subject of the Risk Strengths and Weaknesses consultation.</w:t>
      </w:r>
    </w:p>
    <w:p w:rsidR="0094026C" w:rsidRDefault="0094026C" w:rsidP="0094026C">
      <w:pPr>
        <w:autoSpaceDE w:val="0"/>
        <w:autoSpaceDN w:val="0"/>
        <w:adjustRightInd w:val="0"/>
        <w:spacing w:after="0" w:line="240" w:lineRule="auto"/>
        <w:rPr>
          <w:rFonts w:ascii="Arial" w:hAnsi="Arial" w:cs="Arial"/>
        </w:rPr>
      </w:pPr>
    </w:p>
    <w:p w:rsidR="0094026C" w:rsidRDefault="0094026C" w:rsidP="0094026C">
      <w:pPr>
        <w:autoSpaceDE w:val="0"/>
        <w:autoSpaceDN w:val="0"/>
        <w:adjustRightInd w:val="0"/>
        <w:spacing w:after="0" w:line="240" w:lineRule="auto"/>
        <w:rPr>
          <w:rFonts w:ascii="Arial" w:hAnsi="Arial" w:cs="Arial"/>
        </w:rPr>
      </w:pPr>
      <w:r>
        <w:rPr>
          <w:rFonts w:ascii="Arial" w:hAnsi="Arial" w:cs="Arial"/>
        </w:rPr>
        <w:t xml:space="preserve">The grid below shows the ranking we have determined for each of our 25 data items.  The degree of audit / assurance we would expect to provide is guided by this assessment.  Thus the degree of assurance we expect to provide for say leakage is that might greater than for meter optants. </w:t>
      </w:r>
    </w:p>
    <w:p w:rsidR="0094026C" w:rsidRDefault="0094026C" w:rsidP="0094026C">
      <w:pPr>
        <w:autoSpaceDE w:val="0"/>
        <w:autoSpaceDN w:val="0"/>
        <w:adjustRightInd w:val="0"/>
        <w:spacing w:after="0" w:line="240" w:lineRule="auto"/>
        <w:rPr>
          <w:rFonts w:ascii="Arial" w:hAnsi="Arial" w:cs="Arial"/>
        </w:rPr>
      </w:pPr>
    </w:p>
    <w:p w:rsidR="0094026C" w:rsidRPr="00987CA7" w:rsidRDefault="0094026C" w:rsidP="0094026C">
      <w:pPr>
        <w:autoSpaceDE w:val="0"/>
        <w:autoSpaceDN w:val="0"/>
        <w:adjustRightInd w:val="0"/>
        <w:spacing w:after="0" w:line="240" w:lineRule="auto"/>
        <w:rPr>
          <w:rFonts w:ascii="Arial" w:hAnsi="Arial" w:cs="Arial"/>
        </w:rPr>
      </w:pPr>
      <w:r>
        <w:rPr>
          <w:rFonts w:ascii="Arial" w:hAnsi="Arial" w:cs="Arial"/>
        </w:rPr>
        <w:t>Our results from our consultation supported our assessment of risk and our Audit Plan, the subject of a third document, will be produced accordingly.</w:t>
      </w:r>
    </w:p>
    <w:p w:rsidR="0094026C" w:rsidRDefault="0094026C" w:rsidP="0094026C"/>
    <w:p w:rsidR="0094026C" w:rsidRDefault="00F454FF" w:rsidP="0094026C">
      <w:r w:rsidRPr="00D95853">
        <w:rPr>
          <w:noProof/>
          <w:lang w:eastAsia="en-GB"/>
        </w:rPr>
        <w:drawing>
          <wp:inline distT="0" distB="0" distL="0" distR="0" wp14:anchorId="4DD9B6D1" wp14:editId="344747BF">
            <wp:extent cx="5448300" cy="4036695"/>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5394" cy="4049360"/>
                    </a:xfrm>
                    <a:prstGeom prst="rect">
                      <a:avLst/>
                    </a:prstGeom>
                    <a:noFill/>
                    <a:ln>
                      <a:noFill/>
                    </a:ln>
                  </pic:spPr>
                </pic:pic>
              </a:graphicData>
            </a:graphic>
          </wp:inline>
        </w:drawing>
      </w:r>
    </w:p>
    <w:p w:rsidR="0094026C" w:rsidRDefault="0094026C" w:rsidP="0094026C"/>
    <w:p w:rsidR="0094026C" w:rsidRDefault="0094026C" w:rsidP="0094026C">
      <w:pPr>
        <w:rPr>
          <w:b/>
        </w:rPr>
      </w:pPr>
    </w:p>
    <w:p w:rsidR="0094026C" w:rsidRDefault="0094026C" w:rsidP="0094026C">
      <w:pPr>
        <w:rPr>
          <w:b/>
        </w:rPr>
      </w:pPr>
    </w:p>
    <w:p w:rsidR="0094026C" w:rsidRDefault="0094026C" w:rsidP="0094026C">
      <w:pPr>
        <w:rPr>
          <w:b/>
        </w:rPr>
      </w:pPr>
    </w:p>
    <w:p w:rsidR="0094026C" w:rsidRDefault="0094026C" w:rsidP="0094026C">
      <w:pPr>
        <w:rPr>
          <w:rFonts w:ascii="Arial" w:hAnsi="Arial" w:cs="Arial"/>
          <w:b/>
          <w:sz w:val="24"/>
          <w:szCs w:val="24"/>
        </w:rPr>
      </w:pPr>
    </w:p>
    <w:p w:rsidR="0094026C" w:rsidRDefault="0094026C" w:rsidP="0094026C">
      <w:pPr>
        <w:rPr>
          <w:rFonts w:ascii="Arial" w:hAnsi="Arial" w:cs="Arial"/>
          <w:b/>
          <w:sz w:val="24"/>
          <w:szCs w:val="24"/>
        </w:rPr>
      </w:pPr>
      <w:r>
        <w:rPr>
          <w:rFonts w:ascii="Arial" w:hAnsi="Arial" w:cs="Arial"/>
          <w:b/>
          <w:sz w:val="24"/>
          <w:szCs w:val="24"/>
        </w:rPr>
        <w:br w:type="page"/>
      </w:r>
    </w:p>
    <w:p w:rsidR="0094026C" w:rsidRPr="00EB4F59" w:rsidRDefault="0094026C" w:rsidP="0094026C">
      <w:pPr>
        <w:rPr>
          <w:rFonts w:ascii="Arial" w:hAnsi="Arial" w:cs="Arial"/>
          <w:b/>
          <w:sz w:val="24"/>
          <w:szCs w:val="24"/>
        </w:rPr>
      </w:pPr>
      <w:r>
        <w:rPr>
          <w:rFonts w:ascii="Arial" w:hAnsi="Arial" w:cs="Arial"/>
          <w:b/>
          <w:sz w:val="24"/>
          <w:szCs w:val="24"/>
        </w:rPr>
        <w:t>Ap</w:t>
      </w:r>
      <w:r w:rsidRPr="00EB4F59">
        <w:rPr>
          <w:rFonts w:ascii="Arial" w:hAnsi="Arial" w:cs="Arial"/>
          <w:b/>
          <w:sz w:val="24"/>
          <w:szCs w:val="24"/>
        </w:rPr>
        <w:t>pendix 2</w:t>
      </w:r>
    </w:p>
    <w:p w:rsidR="0094026C" w:rsidRPr="00EB4F59" w:rsidRDefault="0094026C" w:rsidP="0094026C">
      <w:pPr>
        <w:rPr>
          <w:rFonts w:ascii="Arial" w:hAnsi="Arial" w:cs="Arial"/>
          <w:b/>
          <w:sz w:val="24"/>
          <w:szCs w:val="24"/>
        </w:rPr>
      </w:pPr>
      <w:r w:rsidRPr="00EB4F59">
        <w:rPr>
          <w:rFonts w:ascii="Arial" w:hAnsi="Arial" w:cs="Arial"/>
          <w:b/>
          <w:sz w:val="24"/>
          <w:szCs w:val="24"/>
        </w:rPr>
        <w:t xml:space="preserve">Sources of Assurance </w:t>
      </w:r>
    </w:p>
    <w:p w:rsidR="0094026C" w:rsidRDefault="0094026C" w:rsidP="0094026C">
      <w:pPr>
        <w:rPr>
          <w:rFonts w:ascii="Arial" w:hAnsi="Arial" w:cs="Arial"/>
        </w:rPr>
      </w:pPr>
      <w:r w:rsidRPr="00B73835">
        <w:rPr>
          <w:rFonts w:ascii="Arial" w:hAnsi="Arial" w:cs="Arial"/>
        </w:rPr>
        <w:t xml:space="preserve">We have four levels of review. Our high level performance measures are reviewed at our monthly Board meeting, </w:t>
      </w:r>
      <w:r>
        <w:rPr>
          <w:rFonts w:ascii="Arial" w:hAnsi="Arial" w:cs="Arial"/>
        </w:rPr>
        <w:t>which the N</w:t>
      </w:r>
      <w:r w:rsidRPr="00B73835">
        <w:rPr>
          <w:rFonts w:ascii="Arial" w:hAnsi="Arial" w:cs="Arial"/>
        </w:rPr>
        <w:t xml:space="preserve">on-Executive Directors attend, with other performance measures reviewed at the </w:t>
      </w:r>
      <w:r>
        <w:rPr>
          <w:rFonts w:ascii="Arial" w:hAnsi="Arial" w:cs="Arial"/>
        </w:rPr>
        <w:t>M</w:t>
      </w:r>
      <w:r w:rsidRPr="00B73835">
        <w:rPr>
          <w:rFonts w:ascii="Arial" w:hAnsi="Arial" w:cs="Arial"/>
        </w:rPr>
        <w:t xml:space="preserve">onthly </w:t>
      </w:r>
      <w:r>
        <w:rPr>
          <w:rFonts w:ascii="Arial" w:hAnsi="Arial" w:cs="Arial"/>
        </w:rPr>
        <w:t>M</w:t>
      </w:r>
      <w:r w:rsidRPr="00B73835">
        <w:rPr>
          <w:rFonts w:ascii="Arial" w:hAnsi="Arial" w:cs="Arial"/>
        </w:rPr>
        <w:t xml:space="preserve">anagement Board </w:t>
      </w:r>
      <w:r>
        <w:rPr>
          <w:rFonts w:ascii="Arial" w:hAnsi="Arial" w:cs="Arial"/>
        </w:rPr>
        <w:t>M</w:t>
      </w:r>
      <w:r w:rsidRPr="00B73835">
        <w:rPr>
          <w:rFonts w:ascii="Arial" w:hAnsi="Arial" w:cs="Arial"/>
        </w:rPr>
        <w:t xml:space="preserve">eeting. Internally there is a weekly Operations meeting where certain KPIs are </w:t>
      </w:r>
      <w:r>
        <w:rPr>
          <w:rFonts w:ascii="Arial" w:hAnsi="Arial" w:cs="Arial"/>
        </w:rPr>
        <w:t xml:space="preserve">also </w:t>
      </w:r>
      <w:r w:rsidRPr="00B73835">
        <w:rPr>
          <w:rFonts w:ascii="Arial" w:hAnsi="Arial" w:cs="Arial"/>
        </w:rPr>
        <w:t xml:space="preserve">reviewed. </w:t>
      </w:r>
    </w:p>
    <w:p w:rsidR="0094026C" w:rsidRDefault="0094026C" w:rsidP="0094026C">
      <w:pPr>
        <w:rPr>
          <w:rFonts w:ascii="Arial" w:hAnsi="Arial" w:cs="Arial"/>
        </w:rPr>
      </w:pPr>
      <w:r w:rsidRPr="00B73835">
        <w:rPr>
          <w:rFonts w:ascii="Arial" w:hAnsi="Arial" w:cs="Arial"/>
        </w:rPr>
        <w:t xml:space="preserve">All </w:t>
      </w:r>
      <w:r>
        <w:rPr>
          <w:rFonts w:ascii="Arial" w:hAnsi="Arial" w:cs="Arial"/>
        </w:rPr>
        <w:t xml:space="preserve">of </w:t>
      </w:r>
      <w:r w:rsidRPr="00B73835">
        <w:rPr>
          <w:rFonts w:ascii="Arial" w:hAnsi="Arial" w:cs="Arial"/>
        </w:rPr>
        <w:t>our performance measures are subject to external review. This includes audits undertaken by our technical Reporter.  We report performance measures to several bodies including CCWater, Drinking Water Inspectorate, Environment Agency, Health and Safety Executive, Natural England, Ofwat and Water UK.</w:t>
      </w:r>
      <w:r>
        <w:rPr>
          <w:rFonts w:ascii="Arial" w:hAnsi="Arial" w:cs="Arial"/>
        </w:rPr>
        <w:t xml:space="preserve">  </w:t>
      </w:r>
    </w:p>
    <w:p w:rsidR="0094026C" w:rsidRDefault="0094026C" w:rsidP="0094026C">
      <w:pPr>
        <w:rPr>
          <w:rFonts w:ascii="Arial" w:hAnsi="Arial" w:cs="Arial"/>
        </w:rPr>
      </w:pPr>
      <w:r>
        <w:rPr>
          <w:rFonts w:ascii="Arial" w:hAnsi="Arial" w:cs="Arial"/>
        </w:rPr>
        <w:t>We also report these to our Customer Challenge Group every six months with updates on specific issues such as leakage as required.</w:t>
      </w:r>
    </w:p>
    <w:p w:rsidR="0094026C" w:rsidRDefault="0094026C" w:rsidP="0094026C">
      <w:pPr>
        <w:rPr>
          <w:rFonts w:ascii="Arial" w:hAnsi="Arial" w:cs="Arial"/>
        </w:rPr>
      </w:pPr>
      <w:r>
        <w:rPr>
          <w:rFonts w:ascii="Arial" w:hAnsi="Arial" w:cs="Arial"/>
        </w:rPr>
        <w:t xml:space="preserve">Further, we include data requested by stakeholders in the past.  This includes abstraction compliance, levels of service to developers, green-house gases and a number of customer service metrics.  </w:t>
      </w:r>
    </w:p>
    <w:p w:rsidR="0094026C" w:rsidRDefault="0094026C" w:rsidP="0094026C">
      <w:pPr>
        <w:rPr>
          <w:rFonts w:ascii="Arial" w:hAnsi="Arial" w:cs="Arial"/>
        </w:rPr>
      </w:pPr>
      <w:r>
        <w:rPr>
          <w:rFonts w:ascii="Arial" w:hAnsi="Arial" w:cs="Arial"/>
        </w:rPr>
        <w:t>In light of the recent Ofwat data collection exercise we will also report against pumping head as well.</w:t>
      </w:r>
    </w:p>
    <w:tbl>
      <w:tblPr>
        <w:tblStyle w:val="TableGrid"/>
        <w:tblW w:w="10054" w:type="dxa"/>
        <w:tblInd w:w="-136" w:type="dxa"/>
        <w:tblLayout w:type="fixed"/>
        <w:tblLook w:val="04A0" w:firstRow="1" w:lastRow="0" w:firstColumn="1" w:lastColumn="0" w:noHBand="0" w:noVBand="1"/>
      </w:tblPr>
      <w:tblGrid>
        <w:gridCol w:w="709"/>
        <w:gridCol w:w="1690"/>
        <w:gridCol w:w="1275"/>
        <w:gridCol w:w="1560"/>
        <w:gridCol w:w="1418"/>
        <w:gridCol w:w="3402"/>
      </w:tblGrid>
      <w:tr w:rsidR="0094026C" w:rsidRPr="00B73835" w:rsidTr="0030738F">
        <w:tc>
          <w:tcPr>
            <w:tcW w:w="709"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Ref</w:t>
            </w:r>
          </w:p>
        </w:tc>
        <w:tc>
          <w:tcPr>
            <w:tcW w:w="1690"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Performance Measure</w:t>
            </w:r>
          </w:p>
        </w:tc>
        <w:tc>
          <w:tcPr>
            <w:tcW w:w="1275"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Board</w:t>
            </w:r>
          </w:p>
        </w:tc>
        <w:tc>
          <w:tcPr>
            <w:tcW w:w="1560"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Management Board</w:t>
            </w:r>
          </w:p>
        </w:tc>
        <w:tc>
          <w:tcPr>
            <w:tcW w:w="1418"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Other review</w:t>
            </w:r>
          </w:p>
        </w:tc>
        <w:tc>
          <w:tcPr>
            <w:tcW w:w="3402"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External review</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RA1</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Service Incentive Mechanism</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Reported to CCWater on quarterly basis. Audited by Atkins at the end of reporting year. Reported in A</w:t>
            </w:r>
            <w:r>
              <w:rPr>
                <w:rFonts w:ascii="Arial" w:hAnsi="Arial" w:cs="Arial"/>
                <w:sz w:val="20"/>
                <w:szCs w:val="20"/>
              </w:rPr>
              <w:t>nnual Performance Report (A</w:t>
            </w:r>
            <w:r w:rsidRPr="00B73835">
              <w:rPr>
                <w:rFonts w:ascii="Arial" w:hAnsi="Arial" w:cs="Arial"/>
                <w:sz w:val="20"/>
                <w:szCs w:val="20"/>
              </w:rPr>
              <w:t>PR</w:t>
            </w:r>
            <w:r>
              <w:rPr>
                <w:rFonts w:ascii="Arial" w:hAnsi="Arial" w:cs="Arial"/>
                <w:sz w:val="20"/>
                <w:szCs w:val="20"/>
              </w:rPr>
              <w:t>)</w:t>
            </w:r>
            <w:r w:rsidRPr="00B73835">
              <w:rPr>
                <w:rFonts w:ascii="Arial" w:hAnsi="Arial" w:cs="Arial"/>
                <w:sz w:val="20"/>
                <w:szCs w:val="20"/>
              </w:rPr>
              <w:t>.</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RC1</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Developer Survey</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418" w:type="dxa"/>
          </w:tcPr>
          <w:p w:rsidR="0094026C" w:rsidRPr="00B73835" w:rsidRDefault="0094026C" w:rsidP="0030738F">
            <w:pPr>
              <w:rPr>
                <w:rFonts w:ascii="Arial" w:hAnsi="Arial" w:cs="Arial"/>
                <w:sz w:val="20"/>
                <w:szCs w:val="20"/>
              </w:rPr>
            </w:pPr>
          </w:p>
        </w:tc>
        <w:tc>
          <w:tcPr>
            <w:tcW w:w="3402" w:type="dxa"/>
          </w:tcPr>
          <w:p w:rsidR="0094026C" w:rsidRDefault="0094026C" w:rsidP="0030738F">
            <w:pPr>
              <w:rPr>
                <w:rFonts w:ascii="Arial" w:hAnsi="Arial" w:cs="Arial"/>
                <w:sz w:val="20"/>
                <w:szCs w:val="20"/>
              </w:rPr>
            </w:pPr>
            <w:r w:rsidRPr="00B73835">
              <w:rPr>
                <w:rFonts w:ascii="Arial" w:hAnsi="Arial" w:cs="Arial"/>
                <w:sz w:val="20"/>
                <w:szCs w:val="20"/>
              </w:rPr>
              <w:t>Reported in A</w:t>
            </w:r>
            <w:r>
              <w:rPr>
                <w:rFonts w:ascii="Arial" w:hAnsi="Arial" w:cs="Arial"/>
                <w:sz w:val="20"/>
                <w:szCs w:val="20"/>
              </w:rPr>
              <w:t>P</w:t>
            </w:r>
            <w:r w:rsidRPr="00B73835">
              <w:rPr>
                <w:rFonts w:ascii="Arial" w:hAnsi="Arial" w:cs="Arial"/>
                <w:sz w:val="20"/>
                <w:szCs w:val="20"/>
              </w:rPr>
              <w:t>R.</w:t>
            </w:r>
          </w:p>
          <w:p w:rsidR="0094026C" w:rsidRPr="00B73835" w:rsidRDefault="0094026C" w:rsidP="0030738F">
            <w:pPr>
              <w:rPr>
                <w:rFonts w:ascii="Arial" w:hAnsi="Arial" w:cs="Arial"/>
                <w:sz w:val="20"/>
                <w:szCs w:val="20"/>
              </w:rPr>
            </w:pP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RB1</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Per capita consumption</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Reported to CCWater. Audited by Atkins at the end of the reporting year. Reported in APR and in the Annual Return to the Environment Agency.</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WA1</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Number of bursts</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Reported at weekly Operations meeting</w:t>
            </w:r>
          </w:p>
        </w:tc>
        <w:tc>
          <w:tcPr>
            <w:tcW w:w="3402" w:type="dxa"/>
          </w:tcPr>
          <w:p w:rsidR="0094026C" w:rsidRDefault="0094026C" w:rsidP="0030738F">
            <w:pPr>
              <w:rPr>
                <w:rFonts w:ascii="Arial" w:hAnsi="Arial" w:cs="Arial"/>
                <w:sz w:val="20"/>
                <w:szCs w:val="20"/>
              </w:rPr>
            </w:pPr>
            <w:r w:rsidRPr="00B73835">
              <w:rPr>
                <w:rFonts w:ascii="Arial" w:hAnsi="Arial" w:cs="Arial"/>
                <w:sz w:val="20"/>
                <w:szCs w:val="20"/>
              </w:rPr>
              <w:t>Audited by Atkins at the end of reporting year. Reported in APR.</w:t>
            </w:r>
          </w:p>
          <w:p w:rsidR="0094026C" w:rsidRPr="00B73835" w:rsidRDefault="0094026C" w:rsidP="0030738F">
            <w:pPr>
              <w:rPr>
                <w:rFonts w:ascii="Arial" w:hAnsi="Arial" w:cs="Arial"/>
                <w:sz w:val="20"/>
                <w:szCs w:val="20"/>
              </w:rPr>
            </w:pP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WA3</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Mean Zonal Compliance</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Reported at weekly Operations meeting</w:t>
            </w:r>
          </w:p>
        </w:tc>
        <w:tc>
          <w:tcPr>
            <w:tcW w:w="3402" w:type="dxa"/>
          </w:tcPr>
          <w:p w:rsidR="0094026C" w:rsidRPr="00B73835" w:rsidRDefault="0094026C" w:rsidP="0030738F">
            <w:pPr>
              <w:rPr>
                <w:rFonts w:ascii="Arial" w:hAnsi="Arial" w:cs="Arial"/>
                <w:color w:val="000000"/>
                <w:sz w:val="20"/>
                <w:szCs w:val="20"/>
              </w:rPr>
            </w:pPr>
            <w:r w:rsidRPr="00B73835">
              <w:rPr>
                <w:rFonts w:ascii="Arial" w:hAnsi="Arial" w:cs="Arial"/>
                <w:color w:val="000000"/>
                <w:sz w:val="20"/>
                <w:szCs w:val="20"/>
              </w:rPr>
              <w:t xml:space="preserve">Reported in Chief Inspectors Annual Report. </w:t>
            </w:r>
            <w:r w:rsidRPr="00B73835">
              <w:rPr>
                <w:rFonts w:ascii="Arial" w:hAnsi="Arial" w:cs="Arial"/>
                <w:sz w:val="20"/>
                <w:szCs w:val="20"/>
              </w:rPr>
              <w:t>Reported in APR.</w:t>
            </w:r>
          </w:p>
          <w:p w:rsidR="0094026C" w:rsidRPr="00B73835" w:rsidRDefault="0094026C" w:rsidP="0030738F">
            <w:pPr>
              <w:rPr>
                <w:rFonts w:ascii="Arial" w:hAnsi="Arial" w:cs="Arial"/>
                <w:sz w:val="20"/>
                <w:szCs w:val="20"/>
              </w:rPr>
            </w:pP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WA4</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Number of water quality contacts</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 xml:space="preserve">Reported at weekly Operations meeting </w:t>
            </w:r>
          </w:p>
        </w:tc>
        <w:tc>
          <w:tcPr>
            <w:tcW w:w="3402" w:type="dxa"/>
          </w:tcPr>
          <w:p w:rsidR="0094026C" w:rsidRPr="00B73835" w:rsidRDefault="0094026C" w:rsidP="0030738F">
            <w:pPr>
              <w:rPr>
                <w:rFonts w:ascii="Arial" w:hAnsi="Arial" w:cs="Arial"/>
                <w:color w:val="000000"/>
                <w:sz w:val="20"/>
                <w:szCs w:val="20"/>
              </w:rPr>
            </w:pPr>
            <w:r w:rsidRPr="00B73835">
              <w:rPr>
                <w:rFonts w:ascii="Arial" w:hAnsi="Arial" w:cs="Arial"/>
                <w:color w:val="000000"/>
                <w:sz w:val="20"/>
                <w:szCs w:val="20"/>
              </w:rPr>
              <w:t>Reported in Chief Inspectors Annual Report</w:t>
            </w:r>
            <w:r w:rsidRPr="00B73835">
              <w:rPr>
                <w:rFonts w:ascii="Arial" w:hAnsi="Arial" w:cs="Arial"/>
                <w:sz w:val="20"/>
                <w:szCs w:val="20"/>
              </w:rPr>
              <w:t>. Reported in APR.</w:t>
            </w:r>
          </w:p>
          <w:p w:rsidR="0094026C" w:rsidRPr="00B73835" w:rsidRDefault="0094026C" w:rsidP="0030738F">
            <w:pPr>
              <w:rPr>
                <w:rFonts w:ascii="Arial" w:hAnsi="Arial" w:cs="Arial"/>
                <w:sz w:val="20"/>
                <w:szCs w:val="20"/>
              </w:rPr>
            </w:pP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br w:type="page"/>
              <w:t>WA5</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Temporary usage bans</w:t>
            </w:r>
          </w:p>
        </w:tc>
        <w:tc>
          <w:tcPr>
            <w:tcW w:w="1275" w:type="dxa"/>
          </w:tcPr>
          <w:p w:rsidR="0094026C" w:rsidRPr="00B73835" w:rsidRDefault="0094026C" w:rsidP="0030738F">
            <w:pPr>
              <w:rPr>
                <w:rFonts w:ascii="Arial" w:hAnsi="Arial" w:cs="Arial"/>
                <w:sz w:val="20"/>
                <w:szCs w:val="20"/>
              </w:rPr>
            </w:pPr>
          </w:p>
        </w:tc>
        <w:tc>
          <w:tcPr>
            <w:tcW w:w="1560" w:type="dxa"/>
          </w:tcPr>
          <w:p w:rsidR="0094026C" w:rsidRPr="00B73835" w:rsidRDefault="0094026C" w:rsidP="0030738F">
            <w:pPr>
              <w:rPr>
                <w:rFonts w:ascii="Arial" w:hAnsi="Arial" w:cs="Arial"/>
                <w:sz w:val="20"/>
                <w:szCs w:val="20"/>
              </w:rPr>
            </w:pP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Reported in APR and in the Annual Return to the Environment Agency.</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WB1</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Leakage</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Reported at weekly Operations meeting</w:t>
            </w:r>
          </w:p>
        </w:tc>
        <w:tc>
          <w:tcPr>
            <w:tcW w:w="3402" w:type="dxa"/>
          </w:tcPr>
          <w:p w:rsidR="0094026C" w:rsidRDefault="0094026C" w:rsidP="0030738F">
            <w:pPr>
              <w:rPr>
                <w:rFonts w:ascii="Arial" w:hAnsi="Arial" w:cs="Arial"/>
                <w:sz w:val="20"/>
                <w:szCs w:val="20"/>
              </w:rPr>
            </w:pPr>
            <w:r w:rsidRPr="00B73835">
              <w:rPr>
                <w:rFonts w:ascii="Arial" w:hAnsi="Arial" w:cs="Arial"/>
                <w:sz w:val="20"/>
                <w:szCs w:val="20"/>
              </w:rPr>
              <w:t xml:space="preserve">Reported to CCWater on a </w:t>
            </w:r>
            <w:r>
              <w:rPr>
                <w:rFonts w:ascii="Arial" w:hAnsi="Arial" w:cs="Arial"/>
                <w:sz w:val="20"/>
                <w:szCs w:val="20"/>
              </w:rPr>
              <w:t>6</w:t>
            </w:r>
            <w:r w:rsidRPr="00B73835">
              <w:rPr>
                <w:rFonts w:ascii="Arial" w:hAnsi="Arial" w:cs="Arial"/>
                <w:sz w:val="20"/>
                <w:szCs w:val="20"/>
              </w:rPr>
              <w:t xml:space="preserve"> monthly basis. Audited by Atkins at the end of the reporting year. Reported in AP</w:t>
            </w:r>
            <w:r>
              <w:rPr>
                <w:rFonts w:ascii="Arial" w:hAnsi="Arial" w:cs="Arial"/>
                <w:sz w:val="20"/>
                <w:szCs w:val="20"/>
              </w:rPr>
              <w:t xml:space="preserve">R </w:t>
            </w:r>
            <w:r w:rsidRPr="00B73835">
              <w:rPr>
                <w:rFonts w:ascii="Arial" w:hAnsi="Arial" w:cs="Arial"/>
                <w:sz w:val="20"/>
                <w:szCs w:val="20"/>
              </w:rPr>
              <w:t>and Annual Return to the Environment Agency.</w:t>
            </w:r>
          </w:p>
          <w:p w:rsidR="0094026C" w:rsidRPr="00B73835" w:rsidRDefault="0094026C" w:rsidP="0030738F">
            <w:pPr>
              <w:rPr>
                <w:rFonts w:ascii="Arial" w:hAnsi="Arial" w:cs="Arial"/>
                <w:sz w:val="20"/>
                <w:szCs w:val="20"/>
              </w:rPr>
            </w:pPr>
          </w:p>
        </w:tc>
      </w:tr>
      <w:tr w:rsidR="0094026C" w:rsidRPr="00B73835" w:rsidTr="0030738F">
        <w:tc>
          <w:tcPr>
            <w:tcW w:w="709"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Ref</w:t>
            </w:r>
          </w:p>
        </w:tc>
        <w:tc>
          <w:tcPr>
            <w:tcW w:w="1690"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Performance Measure</w:t>
            </w:r>
          </w:p>
        </w:tc>
        <w:tc>
          <w:tcPr>
            <w:tcW w:w="1275"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Board</w:t>
            </w:r>
          </w:p>
        </w:tc>
        <w:tc>
          <w:tcPr>
            <w:tcW w:w="1560"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Management Board</w:t>
            </w:r>
          </w:p>
        </w:tc>
        <w:tc>
          <w:tcPr>
            <w:tcW w:w="1418"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Other review</w:t>
            </w:r>
          </w:p>
        </w:tc>
        <w:tc>
          <w:tcPr>
            <w:tcW w:w="3402" w:type="dxa"/>
            <w:shd w:val="clear" w:color="auto" w:fill="F2F2F2" w:themeFill="background1" w:themeFillShade="F2"/>
          </w:tcPr>
          <w:p w:rsidR="0094026C" w:rsidRPr="00B73835" w:rsidRDefault="0094026C" w:rsidP="0030738F">
            <w:pPr>
              <w:rPr>
                <w:rFonts w:ascii="Arial" w:hAnsi="Arial" w:cs="Arial"/>
                <w:b/>
                <w:sz w:val="20"/>
                <w:szCs w:val="20"/>
              </w:rPr>
            </w:pPr>
            <w:r w:rsidRPr="00B73835">
              <w:rPr>
                <w:rFonts w:ascii="Arial" w:hAnsi="Arial" w:cs="Arial"/>
                <w:b/>
                <w:sz w:val="20"/>
                <w:szCs w:val="20"/>
              </w:rPr>
              <w:t>External review</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WC1</w:t>
            </w:r>
          </w:p>
        </w:tc>
        <w:tc>
          <w:tcPr>
            <w:tcW w:w="1690" w:type="dxa"/>
          </w:tcPr>
          <w:p w:rsidR="0094026C" w:rsidRPr="00B73835" w:rsidRDefault="0094026C" w:rsidP="0030738F">
            <w:pPr>
              <w:rPr>
                <w:rFonts w:ascii="Arial" w:hAnsi="Arial" w:cs="Arial"/>
                <w:sz w:val="20"/>
                <w:szCs w:val="20"/>
              </w:rPr>
            </w:pPr>
            <w:r>
              <w:rPr>
                <w:rFonts w:ascii="Arial" w:hAnsi="Arial" w:cs="Arial"/>
                <w:sz w:val="20"/>
                <w:szCs w:val="20"/>
              </w:rPr>
              <w:t>I</w:t>
            </w:r>
            <w:r w:rsidRPr="00B73835">
              <w:rPr>
                <w:rFonts w:ascii="Arial" w:hAnsi="Arial" w:cs="Arial"/>
                <w:sz w:val="20"/>
                <w:szCs w:val="20"/>
              </w:rPr>
              <w:t>nterruptions to supply</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Reported at weekly Operations meeting</w:t>
            </w: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Reported quarterly to CCWater. Audited by Atkins at the end of the reporting year. Reported in APR.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WD1</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Biodiversity</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Pr>
                <w:rFonts w:ascii="Arial" w:hAnsi="Arial" w:cs="Arial"/>
                <w:sz w:val="20"/>
                <w:szCs w:val="20"/>
              </w:rPr>
              <w:t>Six monthly</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 xml:space="preserve">Reported in APR. Progress discussed with </w:t>
            </w:r>
            <w:r>
              <w:rPr>
                <w:rFonts w:ascii="Arial" w:hAnsi="Arial" w:cs="Arial"/>
                <w:sz w:val="20"/>
                <w:szCs w:val="20"/>
              </w:rPr>
              <w:t>CCG and Natural England every six months</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WD2</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Water Framework Directive</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Pr>
                <w:rFonts w:ascii="Arial" w:hAnsi="Arial" w:cs="Arial"/>
                <w:sz w:val="20"/>
                <w:szCs w:val="20"/>
              </w:rPr>
              <w:t>Six monthly</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 xml:space="preserve">Reported in APR. Progress discussed with </w:t>
            </w:r>
            <w:r>
              <w:rPr>
                <w:rFonts w:ascii="Arial" w:hAnsi="Arial" w:cs="Arial"/>
                <w:sz w:val="20"/>
                <w:szCs w:val="20"/>
              </w:rPr>
              <w:t xml:space="preserve">CCG and </w:t>
            </w:r>
            <w:r w:rsidRPr="00B73835">
              <w:rPr>
                <w:rFonts w:ascii="Arial" w:hAnsi="Arial" w:cs="Arial"/>
                <w:sz w:val="20"/>
                <w:szCs w:val="20"/>
              </w:rPr>
              <w:t>Natural England</w:t>
            </w:r>
            <w:r>
              <w:rPr>
                <w:rFonts w:ascii="Arial" w:hAnsi="Arial" w:cs="Arial"/>
                <w:sz w:val="20"/>
                <w:szCs w:val="20"/>
              </w:rPr>
              <w:t xml:space="preserve"> every six months</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WD3</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Carbon commitment to renewables</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Electricity consumption reviewed.</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 xml:space="preserve">Audited by </w:t>
            </w:r>
            <w:r>
              <w:rPr>
                <w:rFonts w:ascii="Arial" w:hAnsi="Arial" w:cs="Arial"/>
                <w:sz w:val="20"/>
                <w:szCs w:val="20"/>
              </w:rPr>
              <w:t>A</w:t>
            </w:r>
            <w:r w:rsidRPr="00B73835">
              <w:rPr>
                <w:rFonts w:ascii="Arial" w:hAnsi="Arial" w:cs="Arial"/>
                <w:sz w:val="20"/>
                <w:szCs w:val="20"/>
              </w:rPr>
              <w:t>tkins at the end of the reporting year. Reported in APR.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WG1</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RoSPA</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Accidents reported monthly</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Accidents reported monthly</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Reported to the Health and Safety Executive. Reported in APR.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O1</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Abstraction Incentive Mechanism</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Reported in APR.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O2</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Optional meters installed</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 xml:space="preserve">Monthly review </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 xml:space="preserve">Reported at weekly Operations meeting </w:t>
            </w: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 xml:space="preserve">Reported </w:t>
            </w:r>
            <w:r>
              <w:rPr>
                <w:rFonts w:ascii="Arial" w:hAnsi="Arial" w:cs="Arial"/>
                <w:sz w:val="20"/>
                <w:szCs w:val="20"/>
              </w:rPr>
              <w:t xml:space="preserve">annually </w:t>
            </w:r>
            <w:r w:rsidRPr="00B73835">
              <w:rPr>
                <w:rFonts w:ascii="Arial" w:hAnsi="Arial" w:cs="Arial"/>
                <w:sz w:val="20"/>
                <w:szCs w:val="20"/>
              </w:rPr>
              <w:t>to the Environment Agency. Audited by Atkins at the end of the reporting year.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O3</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Abstraction - compliance with licence conditions</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Reported at weekly Operations meeting</w:t>
            </w: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 xml:space="preserve">Reported </w:t>
            </w:r>
            <w:r>
              <w:rPr>
                <w:rFonts w:ascii="Arial" w:hAnsi="Arial" w:cs="Arial"/>
                <w:sz w:val="20"/>
                <w:szCs w:val="20"/>
              </w:rPr>
              <w:t xml:space="preserve">annually </w:t>
            </w:r>
            <w:r w:rsidRPr="00B73835">
              <w:rPr>
                <w:rFonts w:ascii="Arial" w:hAnsi="Arial" w:cs="Arial"/>
                <w:sz w:val="20"/>
                <w:szCs w:val="20"/>
              </w:rPr>
              <w:t>to the Environment Agency.</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O4</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Guaranteed Standards of Service</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Reported at weekly Operations meeting</w:t>
            </w: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Audited by Atkins at the end of the reporting year.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O5</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 xml:space="preserve">Watersure </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Reported at weekly Operations meeting</w:t>
            </w: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Reported quarterly to CCWater. Audited by Atkins at the end of the reporting year.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O6</w:t>
            </w:r>
          </w:p>
        </w:tc>
        <w:tc>
          <w:tcPr>
            <w:tcW w:w="1690" w:type="dxa"/>
          </w:tcPr>
          <w:p w:rsidR="0094026C" w:rsidRPr="00B73835" w:rsidRDefault="0094026C" w:rsidP="0030738F">
            <w:pPr>
              <w:rPr>
                <w:rFonts w:ascii="Arial" w:hAnsi="Arial" w:cs="Arial"/>
                <w:sz w:val="20"/>
                <w:szCs w:val="20"/>
              </w:rPr>
            </w:pPr>
            <w:r>
              <w:rPr>
                <w:rFonts w:ascii="Arial" w:hAnsi="Arial" w:cs="Arial"/>
                <w:sz w:val="20"/>
                <w:szCs w:val="20"/>
              </w:rPr>
              <w:t xml:space="preserve">Social </w:t>
            </w:r>
            <w:r w:rsidRPr="00B73835">
              <w:rPr>
                <w:rFonts w:ascii="Arial" w:hAnsi="Arial" w:cs="Arial"/>
                <w:sz w:val="20"/>
                <w:szCs w:val="20"/>
              </w:rPr>
              <w:t>tariff</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Reported at weekly Operations meeting</w:t>
            </w: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Reported quarterly to CCWater. Audited by Atkins at the end of the reporting year.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O7</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New development – levels of service</w:t>
            </w:r>
          </w:p>
        </w:tc>
        <w:tc>
          <w:tcPr>
            <w:tcW w:w="1275" w:type="dxa"/>
          </w:tcPr>
          <w:p w:rsidR="0094026C" w:rsidRPr="00B73835" w:rsidRDefault="0094026C" w:rsidP="0030738F">
            <w:pPr>
              <w:rPr>
                <w:rFonts w:ascii="Arial" w:hAnsi="Arial" w:cs="Arial"/>
                <w:sz w:val="20"/>
                <w:szCs w:val="20"/>
              </w:rPr>
            </w:pPr>
            <w:r>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Reported quarterly to Water UK. Audited by Atkins at the end of the reporting year.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O8</w:t>
            </w:r>
          </w:p>
        </w:tc>
        <w:tc>
          <w:tcPr>
            <w:tcW w:w="1690" w:type="dxa"/>
          </w:tcPr>
          <w:p w:rsidR="0094026C" w:rsidRPr="00B73835" w:rsidRDefault="0094026C" w:rsidP="0030738F">
            <w:pPr>
              <w:rPr>
                <w:rFonts w:ascii="Arial" w:hAnsi="Arial" w:cs="Arial"/>
                <w:sz w:val="20"/>
                <w:szCs w:val="20"/>
              </w:rPr>
            </w:pPr>
            <w:r w:rsidRPr="00B73835">
              <w:rPr>
                <w:rFonts w:ascii="Arial" w:hAnsi="Arial" w:cs="Arial"/>
                <w:sz w:val="20"/>
                <w:szCs w:val="20"/>
              </w:rPr>
              <w:t>Green House Gas Emissions</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Audited by Atkins at the end of the reporting year.</w:t>
            </w:r>
          </w:p>
        </w:tc>
      </w:tr>
      <w:tr w:rsidR="0094026C" w:rsidRPr="00B73835" w:rsidTr="0030738F">
        <w:tc>
          <w:tcPr>
            <w:tcW w:w="709" w:type="dxa"/>
          </w:tcPr>
          <w:p w:rsidR="0094026C" w:rsidRPr="0071746E" w:rsidRDefault="0094026C" w:rsidP="0030738F">
            <w:pPr>
              <w:rPr>
                <w:rFonts w:ascii="Arial" w:hAnsi="Arial" w:cs="Arial"/>
                <w:sz w:val="20"/>
                <w:szCs w:val="20"/>
              </w:rPr>
            </w:pPr>
            <w:r w:rsidRPr="0071746E">
              <w:rPr>
                <w:rFonts w:ascii="Arial" w:hAnsi="Arial" w:cs="Arial"/>
                <w:sz w:val="20"/>
                <w:szCs w:val="20"/>
              </w:rPr>
              <w:t>O9</w:t>
            </w:r>
          </w:p>
        </w:tc>
        <w:tc>
          <w:tcPr>
            <w:tcW w:w="1690" w:type="dxa"/>
          </w:tcPr>
          <w:p w:rsidR="0094026C" w:rsidRPr="00B73835" w:rsidRDefault="0094026C" w:rsidP="0030738F">
            <w:pPr>
              <w:rPr>
                <w:rFonts w:ascii="Arial" w:hAnsi="Arial" w:cs="Arial"/>
                <w:sz w:val="20"/>
                <w:szCs w:val="20"/>
              </w:rPr>
            </w:pPr>
            <w:r>
              <w:rPr>
                <w:rFonts w:ascii="Arial" w:hAnsi="Arial" w:cs="Arial"/>
                <w:sz w:val="20"/>
                <w:szCs w:val="20"/>
              </w:rPr>
              <w:t>Written Complaints by class and cause</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Monthly review</w:t>
            </w:r>
          </w:p>
        </w:tc>
        <w:tc>
          <w:tcPr>
            <w:tcW w:w="1418" w:type="dxa"/>
          </w:tcPr>
          <w:p w:rsidR="0094026C" w:rsidRPr="00B73835" w:rsidRDefault="0094026C" w:rsidP="0030738F">
            <w:pPr>
              <w:rPr>
                <w:rFonts w:ascii="Arial" w:hAnsi="Arial" w:cs="Arial"/>
                <w:sz w:val="20"/>
                <w:szCs w:val="20"/>
              </w:rPr>
            </w:pPr>
            <w:r w:rsidRPr="00B73835">
              <w:rPr>
                <w:rFonts w:ascii="Arial" w:hAnsi="Arial" w:cs="Arial"/>
                <w:sz w:val="20"/>
                <w:szCs w:val="20"/>
              </w:rPr>
              <w:t>Reported at weekly Operations meeting</w:t>
            </w:r>
          </w:p>
        </w:tc>
        <w:tc>
          <w:tcPr>
            <w:tcW w:w="3402" w:type="dxa"/>
          </w:tcPr>
          <w:p w:rsidR="0094026C" w:rsidRDefault="0094026C" w:rsidP="0030738F">
            <w:pPr>
              <w:rPr>
                <w:rFonts w:ascii="Arial" w:hAnsi="Arial" w:cs="Arial"/>
                <w:sz w:val="20"/>
                <w:szCs w:val="20"/>
              </w:rPr>
            </w:pPr>
            <w:r w:rsidRPr="00B73835">
              <w:rPr>
                <w:rFonts w:ascii="Arial" w:hAnsi="Arial" w:cs="Arial"/>
                <w:sz w:val="20"/>
                <w:szCs w:val="20"/>
              </w:rPr>
              <w:t xml:space="preserve">Reported to CCWater on a </w:t>
            </w:r>
            <w:r>
              <w:rPr>
                <w:rFonts w:ascii="Arial" w:hAnsi="Arial" w:cs="Arial"/>
                <w:sz w:val="20"/>
                <w:szCs w:val="20"/>
              </w:rPr>
              <w:t xml:space="preserve">quarterly </w:t>
            </w:r>
            <w:r w:rsidRPr="00B73835">
              <w:rPr>
                <w:rFonts w:ascii="Arial" w:hAnsi="Arial" w:cs="Arial"/>
                <w:sz w:val="20"/>
                <w:szCs w:val="20"/>
              </w:rPr>
              <w:t xml:space="preserve">basis. Audited by Atkins at the end of the reporting year. </w:t>
            </w:r>
            <w:r>
              <w:rPr>
                <w:rFonts w:ascii="Arial" w:hAnsi="Arial" w:cs="Arial"/>
                <w:sz w:val="20"/>
                <w:szCs w:val="20"/>
              </w:rPr>
              <w:t>Will be r</w:t>
            </w:r>
            <w:r w:rsidRPr="00B73835">
              <w:rPr>
                <w:rFonts w:ascii="Arial" w:hAnsi="Arial" w:cs="Arial"/>
                <w:sz w:val="20"/>
                <w:szCs w:val="20"/>
              </w:rPr>
              <w:t>eported in APR</w:t>
            </w:r>
          </w:p>
          <w:p w:rsidR="0094026C" w:rsidRPr="00B73835" w:rsidRDefault="0094026C" w:rsidP="0030738F">
            <w:pPr>
              <w:rPr>
                <w:rFonts w:ascii="Arial" w:hAnsi="Arial" w:cs="Arial"/>
                <w:sz w:val="20"/>
                <w:szCs w:val="20"/>
              </w:rPr>
            </w:pPr>
          </w:p>
        </w:tc>
      </w:tr>
      <w:tr w:rsidR="0094026C" w:rsidRPr="00B73835" w:rsidTr="0030738F">
        <w:tc>
          <w:tcPr>
            <w:tcW w:w="709" w:type="dxa"/>
          </w:tcPr>
          <w:p w:rsidR="0094026C" w:rsidRDefault="0094026C" w:rsidP="0030738F">
            <w:pPr>
              <w:rPr>
                <w:rFonts w:ascii="Arial" w:hAnsi="Arial" w:cs="Arial"/>
                <w:sz w:val="20"/>
                <w:szCs w:val="20"/>
              </w:rPr>
            </w:pPr>
            <w:r>
              <w:rPr>
                <w:rFonts w:ascii="Arial" w:hAnsi="Arial" w:cs="Arial"/>
                <w:sz w:val="20"/>
                <w:szCs w:val="20"/>
              </w:rPr>
              <w:t>O10</w:t>
            </w:r>
          </w:p>
        </w:tc>
        <w:tc>
          <w:tcPr>
            <w:tcW w:w="1690" w:type="dxa"/>
          </w:tcPr>
          <w:p w:rsidR="0094026C" w:rsidRDefault="0094026C" w:rsidP="0030738F">
            <w:pPr>
              <w:rPr>
                <w:rFonts w:ascii="Arial" w:hAnsi="Arial" w:cs="Arial"/>
                <w:sz w:val="20"/>
                <w:szCs w:val="20"/>
              </w:rPr>
            </w:pPr>
            <w:r>
              <w:rPr>
                <w:rFonts w:ascii="Arial" w:hAnsi="Arial" w:cs="Arial"/>
                <w:sz w:val="20"/>
                <w:szCs w:val="20"/>
              </w:rPr>
              <w:t>Communication pipes</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Audited by Atkins at the end of the reporting year.</w:t>
            </w:r>
          </w:p>
        </w:tc>
      </w:tr>
      <w:tr w:rsidR="0094026C" w:rsidRPr="00B73835" w:rsidTr="0030738F">
        <w:tc>
          <w:tcPr>
            <w:tcW w:w="709" w:type="dxa"/>
          </w:tcPr>
          <w:p w:rsidR="0094026C" w:rsidRDefault="0094026C" w:rsidP="0030738F">
            <w:pPr>
              <w:rPr>
                <w:rFonts w:ascii="Arial" w:hAnsi="Arial" w:cs="Arial"/>
                <w:sz w:val="20"/>
                <w:szCs w:val="20"/>
              </w:rPr>
            </w:pPr>
            <w:r>
              <w:rPr>
                <w:rFonts w:ascii="Arial" w:hAnsi="Arial" w:cs="Arial"/>
                <w:sz w:val="20"/>
                <w:szCs w:val="20"/>
              </w:rPr>
              <w:t>O11</w:t>
            </w:r>
          </w:p>
        </w:tc>
        <w:tc>
          <w:tcPr>
            <w:tcW w:w="1690" w:type="dxa"/>
          </w:tcPr>
          <w:p w:rsidR="0094026C" w:rsidRDefault="0094026C" w:rsidP="0030738F">
            <w:pPr>
              <w:rPr>
                <w:rFonts w:ascii="Arial" w:hAnsi="Arial" w:cs="Arial"/>
                <w:sz w:val="20"/>
                <w:szCs w:val="20"/>
              </w:rPr>
            </w:pPr>
            <w:r>
              <w:rPr>
                <w:rFonts w:ascii="Arial" w:hAnsi="Arial" w:cs="Arial"/>
                <w:sz w:val="20"/>
                <w:szCs w:val="20"/>
              </w:rPr>
              <w:t>Meters renewed</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Audited by Atkins at the end of the reporting year.</w:t>
            </w:r>
          </w:p>
        </w:tc>
      </w:tr>
      <w:tr w:rsidR="0094026C" w:rsidRPr="00B73835" w:rsidTr="0030738F">
        <w:tc>
          <w:tcPr>
            <w:tcW w:w="709" w:type="dxa"/>
          </w:tcPr>
          <w:p w:rsidR="0094026C" w:rsidRDefault="0094026C" w:rsidP="0030738F">
            <w:pPr>
              <w:rPr>
                <w:rFonts w:ascii="Arial" w:hAnsi="Arial" w:cs="Arial"/>
                <w:sz w:val="20"/>
                <w:szCs w:val="20"/>
              </w:rPr>
            </w:pPr>
            <w:r>
              <w:rPr>
                <w:rFonts w:ascii="Arial" w:hAnsi="Arial" w:cs="Arial"/>
                <w:sz w:val="20"/>
                <w:szCs w:val="20"/>
              </w:rPr>
              <w:t>O12</w:t>
            </w:r>
          </w:p>
        </w:tc>
        <w:tc>
          <w:tcPr>
            <w:tcW w:w="1690" w:type="dxa"/>
          </w:tcPr>
          <w:p w:rsidR="0094026C" w:rsidRDefault="0094026C" w:rsidP="0030738F">
            <w:pPr>
              <w:rPr>
                <w:rFonts w:ascii="Arial" w:hAnsi="Arial" w:cs="Arial"/>
                <w:sz w:val="20"/>
                <w:szCs w:val="20"/>
              </w:rPr>
            </w:pPr>
            <w:r>
              <w:rPr>
                <w:rFonts w:ascii="Arial" w:hAnsi="Arial" w:cs="Arial"/>
                <w:sz w:val="20"/>
                <w:szCs w:val="20"/>
              </w:rPr>
              <w:t>Pumping Head</w:t>
            </w:r>
          </w:p>
        </w:tc>
        <w:tc>
          <w:tcPr>
            <w:tcW w:w="1275"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560" w:type="dxa"/>
          </w:tcPr>
          <w:p w:rsidR="0094026C" w:rsidRPr="00B73835" w:rsidRDefault="0094026C" w:rsidP="0030738F">
            <w:pPr>
              <w:rPr>
                <w:rFonts w:ascii="Arial" w:hAnsi="Arial" w:cs="Arial"/>
                <w:sz w:val="20"/>
                <w:szCs w:val="20"/>
              </w:rPr>
            </w:pPr>
            <w:r w:rsidRPr="00B73835">
              <w:rPr>
                <w:rFonts w:ascii="Arial" w:hAnsi="Arial" w:cs="Arial"/>
                <w:sz w:val="20"/>
                <w:szCs w:val="20"/>
              </w:rPr>
              <w:t>Yearly review</w:t>
            </w:r>
          </w:p>
        </w:tc>
        <w:tc>
          <w:tcPr>
            <w:tcW w:w="1418" w:type="dxa"/>
          </w:tcPr>
          <w:p w:rsidR="0094026C" w:rsidRPr="00B73835" w:rsidRDefault="0094026C" w:rsidP="0030738F">
            <w:pPr>
              <w:rPr>
                <w:rFonts w:ascii="Arial" w:hAnsi="Arial" w:cs="Arial"/>
                <w:sz w:val="20"/>
                <w:szCs w:val="20"/>
              </w:rPr>
            </w:pPr>
          </w:p>
        </w:tc>
        <w:tc>
          <w:tcPr>
            <w:tcW w:w="3402" w:type="dxa"/>
          </w:tcPr>
          <w:p w:rsidR="0094026C" w:rsidRPr="00B73835" w:rsidRDefault="0094026C" w:rsidP="0030738F">
            <w:pPr>
              <w:rPr>
                <w:rFonts w:ascii="Arial" w:hAnsi="Arial" w:cs="Arial"/>
                <w:sz w:val="20"/>
                <w:szCs w:val="20"/>
              </w:rPr>
            </w:pPr>
            <w:r w:rsidRPr="00B73835">
              <w:rPr>
                <w:rFonts w:ascii="Arial" w:hAnsi="Arial" w:cs="Arial"/>
                <w:sz w:val="20"/>
                <w:szCs w:val="20"/>
              </w:rPr>
              <w:t>Audited by Atkins at the end of the reporting year.</w:t>
            </w:r>
          </w:p>
        </w:tc>
      </w:tr>
    </w:tbl>
    <w:p w:rsidR="0094026C" w:rsidRDefault="0094026C" w:rsidP="0094026C">
      <w:pPr>
        <w:rPr>
          <w:rFonts w:ascii="Arial" w:hAnsi="Arial" w:cs="Arial"/>
          <w:b/>
          <w:sz w:val="24"/>
          <w:szCs w:val="24"/>
        </w:rPr>
      </w:pPr>
    </w:p>
    <w:p w:rsidR="0094026C" w:rsidRPr="00E17CEC" w:rsidRDefault="0094026C" w:rsidP="0094026C">
      <w:pPr>
        <w:rPr>
          <w:rFonts w:ascii="Arial" w:hAnsi="Arial" w:cs="Arial"/>
          <w:b/>
          <w:sz w:val="24"/>
          <w:szCs w:val="24"/>
        </w:rPr>
      </w:pPr>
      <w:r w:rsidRPr="00E17CEC">
        <w:rPr>
          <w:rFonts w:ascii="Arial" w:hAnsi="Arial" w:cs="Arial"/>
          <w:b/>
          <w:sz w:val="24"/>
          <w:szCs w:val="24"/>
        </w:rPr>
        <w:t>Appen</w:t>
      </w:r>
      <w:r>
        <w:rPr>
          <w:rFonts w:ascii="Arial" w:hAnsi="Arial" w:cs="Arial"/>
          <w:b/>
          <w:sz w:val="24"/>
          <w:szCs w:val="24"/>
        </w:rPr>
        <w:t>dix 3</w:t>
      </w:r>
      <w:r w:rsidRPr="00E17CEC">
        <w:rPr>
          <w:rFonts w:ascii="Arial" w:hAnsi="Arial" w:cs="Arial"/>
          <w:b/>
          <w:sz w:val="24"/>
          <w:szCs w:val="24"/>
        </w:rPr>
        <w:t xml:space="preserve"> </w:t>
      </w:r>
    </w:p>
    <w:p w:rsidR="0094026C" w:rsidRPr="00B73835" w:rsidRDefault="0094026C" w:rsidP="0094026C">
      <w:pPr>
        <w:rPr>
          <w:rFonts w:ascii="Arial" w:hAnsi="Arial" w:cs="Arial"/>
          <w:b/>
        </w:rPr>
      </w:pPr>
      <w:r w:rsidRPr="00B73835">
        <w:rPr>
          <w:rFonts w:ascii="Arial" w:hAnsi="Arial" w:cs="Arial"/>
          <w:b/>
        </w:rPr>
        <w:t>Targeted audit plan</w:t>
      </w:r>
    </w:p>
    <w:p w:rsidR="0094026C" w:rsidRDefault="0094026C" w:rsidP="0094026C">
      <w:pPr>
        <w:rPr>
          <w:rFonts w:ascii="Arial" w:hAnsi="Arial" w:cs="Arial"/>
        </w:rPr>
      </w:pPr>
      <w:r>
        <w:rPr>
          <w:rFonts w:ascii="Arial" w:hAnsi="Arial" w:cs="Arial"/>
        </w:rPr>
        <w:t xml:space="preserve">By way of illustration we comment upon our </w:t>
      </w:r>
      <w:r w:rsidR="00F454FF">
        <w:rPr>
          <w:rFonts w:ascii="Arial" w:hAnsi="Arial" w:cs="Arial"/>
        </w:rPr>
        <w:t>7</w:t>
      </w:r>
      <w:r>
        <w:rPr>
          <w:rFonts w:ascii="Arial" w:hAnsi="Arial" w:cs="Arial"/>
        </w:rPr>
        <w:t xml:space="preserve"> </w:t>
      </w:r>
      <w:r w:rsidRPr="00B73835">
        <w:rPr>
          <w:rFonts w:ascii="Arial" w:hAnsi="Arial" w:cs="Arial"/>
        </w:rPr>
        <w:t>“</w:t>
      </w:r>
      <w:r>
        <w:rPr>
          <w:rFonts w:ascii="Arial" w:hAnsi="Arial" w:cs="Arial"/>
        </w:rPr>
        <w:t>h</w:t>
      </w:r>
      <w:r w:rsidRPr="00B73835">
        <w:rPr>
          <w:rFonts w:ascii="Arial" w:hAnsi="Arial" w:cs="Arial"/>
        </w:rPr>
        <w:t xml:space="preserve">igh” risk </w:t>
      </w:r>
      <w:r>
        <w:rPr>
          <w:rFonts w:ascii="Arial" w:hAnsi="Arial" w:cs="Arial"/>
        </w:rPr>
        <w:t>p</w:t>
      </w:r>
      <w:r w:rsidRPr="00B73835">
        <w:rPr>
          <w:rFonts w:ascii="Arial" w:hAnsi="Arial" w:cs="Arial"/>
        </w:rPr>
        <w:t xml:space="preserve">erformance </w:t>
      </w:r>
      <w:r>
        <w:rPr>
          <w:rFonts w:ascii="Arial" w:hAnsi="Arial" w:cs="Arial"/>
        </w:rPr>
        <w:t>m</w:t>
      </w:r>
      <w:r w:rsidRPr="00B73835">
        <w:rPr>
          <w:rFonts w:ascii="Arial" w:hAnsi="Arial" w:cs="Arial"/>
        </w:rPr>
        <w:t>easures</w:t>
      </w:r>
      <w:r>
        <w:rPr>
          <w:rFonts w:ascii="Arial" w:hAnsi="Arial" w:cs="Arial"/>
        </w:rPr>
        <w:t xml:space="preserve">, as identified in our Risk Strengths and Weaknesses consultation.  These are per capita consumption, leakage, GSS, </w:t>
      </w:r>
      <w:r w:rsidR="00F454FF">
        <w:rPr>
          <w:rFonts w:ascii="Arial" w:hAnsi="Arial" w:cs="Arial"/>
        </w:rPr>
        <w:t xml:space="preserve">Levels of service for Developers, </w:t>
      </w:r>
      <w:r>
        <w:rPr>
          <w:rFonts w:ascii="Arial" w:hAnsi="Arial" w:cs="Arial"/>
        </w:rPr>
        <w:t>Social tariff, green-house gases and communication pipes.</w:t>
      </w:r>
    </w:p>
    <w:p w:rsidR="0094026C" w:rsidRPr="00974283" w:rsidRDefault="0094026C" w:rsidP="0094026C">
      <w:pPr>
        <w:rPr>
          <w:rFonts w:ascii="Arial" w:hAnsi="Arial" w:cs="Arial"/>
          <w:sz w:val="20"/>
          <w:szCs w:val="20"/>
        </w:rPr>
      </w:pPr>
      <w:r w:rsidRPr="00974283">
        <w:rPr>
          <w:rFonts w:ascii="Arial" w:hAnsi="Arial" w:cs="Arial"/>
          <w:sz w:val="20"/>
          <w:szCs w:val="20"/>
        </w:rPr>
        <w:t>Per capita consumption</w:t>
      </w:r>
    </w:p>
    <w:p w:rsidR="0094026C" w:rsidRPr="00974283" w:rsidRDefault="0094026C" w:rsidP="00944ED0">
      <w:pPr>
        <w:pStyle w:val="ListParagraph"/>
        <w:numPr>
          <w:ilvl w:val="0"/>
          <w:numId w:val="4"/>
        </w:numPr>
        <w:rPr>
          <w:rFonts w:ascii="Arial" w:hAnsi="Arial" w:cs="Arial"/>
          <w:sz w:val="20"/>
          <w:szCs w:val="20"/>
        </w:rPr>
      </w:pPr>
      <w:r w:rsidRPr="00974283">
        <w:rPr>
          <w:rFonts w:ascii="Arial" w:hAnsi="Arial" w:cs="Arial"/>
          <w:sz w:val="20"/>
          <w:szCs w:val="20"/>
        </w:rPr>
        <w:t>Review the Company Methodology Statement for appropriateness and completeness</w:t>
      </w:r>
    </w:p>
    <w:p w:rsidR="0094026C" w:rsidRPr="00974283" w:rsidRDefault="0094026C" w:rsidP="00944ED0">
      <w:pPr>
        <w:pStyle w:val="ListParagraph"/>
        <w:numPr>
          <w:ilvl w:val="0"/>
          <w:numId w:val="4"/>
        </w:numPr>
        <w:rPr>
          <w:rFonts w:ascii="Arial" w:hAnsi="Arial" w:cs="Arial"/>
          <w:sz w:val="20"/>
          <w:szCs w:val="20"/>
        </w:rPr>
      </w:pPr>
      <w:r w:rsidRPr="00974283">
        <w:rPr>
          <w:rFonts w:ascii="Arial" w:hAnsi="Arial" w:cs="Arial"/>
          <w:sz w:val="20"/>
          <w:szCs w:val="20"/>
        </w:rPr>
        <w:t xml:space="preserve">Compare with the convergence project methodology for this measure. </w:t>
      </w:r>
    </w:p>
    <w:p w:rsidR="0094026C" w:rsidRPr="00974283" w:rsidRDefault="0094026C" w:rsidP="00944ED0">
      <w:pPr>
        <w:pStyle w:val="ListParagraph"/>
        <w:numPr>
          <w:ilvl w:val="0"/>
          <w:numId w:val="4"/>
        </w:numPr>
        <w:rPr>
          <w:rFonts w:ascii="Arial" w:hAnsi="Arial" w:cs="Arial"/>
          <w:sz w:val="20"/>
          <w:szCs w:val="20"/>
        </w:rPr>
      </w:pPr>
      <w:r w:rsidRPr="00974283">
        <w:rPr>
          <w:rFonts w:ascii="Arial" w:hAnsi="Arial" w:cs="Arial"/>
          <w:sz w:val="20"/>
          <w:szCs w:val="20"/>
        </w:rPr>
        <w:t>Review the calculation of pcc including all elements of the water balance</w:t>
      </w:r>
    </w:p>
    <w:p w:rsidR="0094026C" w:rsidRPr="00974283" w:rsidRDefault="0094026C" w:rsidP="00944ED0">
      <w:pPr>
        <w:pStyle w:val="ListParagraph"/>
        <w:numPr>
          <w:ilvl w:val="0"/>
          <w:numId w:val="4"/>
        </w:numPr>
        <w:rPr>
          <w:rFonts w:ascii="Arial" w:hAnsi="Arial" w:cs="Arial"/>
          <w:sz w:val="20"/>
          <w:szCs w:val="20"/>
        </w:rPr>
      </w:pPr>
      <w:r w:rsidRPr="00974283">
        <w:rPr>
          <w:rFonts w:ascii="Arial" w:hAnsi="Arial" w:cs="Arial"/>
          <w:sz w:val="20"/>
          <w:szCs w:val="20"/>
        </w:rPr>
        <w:t>Confirm the accuracy of the figure to be reported for pcc.</w:t>
      </w:r>
    </w:p>
    <w:p w:rsidR="0094026C" w:rsidRPr="00974283" w:rsidRDefault="0094026C" w:rsidP="00944ED0">
      <w:pPr>
        <w:pStyle w:val="ListParagraph"/>
        <w:numPr>
          <w:ilvl w:val="0"/>
          <w:numId w:val="4"/>
        </w:numPr>
        <w:rPr>
          <w:rFonts w:ascii="Arial" w:hAnsi="Arial" w:cs="Arial"/>
          <w:sz w:val="20"/>
          <w:szCs w:val="20"/>
        </w:rPr>
      </w:pPr>
      <w:r w:rsidRPr="00974283">
        <w:rPr>
          <w:rFonts w:ascii="Arial" w:hAnsi="Arial" w:cs="Arial"/>
          <w:sz w:val="20"/>
          <w:szCs w:val="20"/>
        </w:rPr>
        <w:t xml:space="preserve">Confirm the magnitude of the change in leakage methodology in particular on this measure. </w:t>
      </w:r>
    </w:p>
    <w:p w:rsidR="0094026C" w:rsidRPr="00974283" w:rsidRDefault="0094026C" w:rsidP="0094026C">
      <w:pPr>
        <w:rPr>
          <w:rFonts w:ascii="Arial" w:hAnsi="Arial" w:cs="Arial"/>
          <w:sz w:val="20"/>
          <w:szCs w:val="20"/>
        </w:rPr>
      </w:pPr>
      <w:r w:rsidRPr="00974283">
        <w:rPr>
          <w:rFonts w:ascii="Arial" w:hAnsi="Arial" w:cs="Arial"/>
          <w:sz w:val="20"/>
          <w:szCs w:val="20"/>
        </w:rPr>
        <w:t>Leakage</w:t>
      </w:r>
    </w:p>
    <w:p w:rsidR="0094026C" w:rsidRPr="00974283" w:rsidRDefault="0094026C" w:rsidP="00944ED0">
      <w:pPr>
        <w:pStyle w:val="ListParagraph"/>
        <w:numPr>
          <w:ilvl w:val="0"/>
          <w:numId w:val="4"/>
        </w:numPr>
        <w:rPr>
          <w:rFonts w:ascii="Arial" w:hAnsi="Arial" w:cs="Arial"/>
          <w:sz w:val="20"/>
          <w:szCs w:val="20"/>
        </w:rPr>
      </w:pPr>
      <w:r w:rsidRPr="00974283">
        <w:rPr>
          <w:rFonts w:ascii="Arial" w:hAnsi="Arial" w:cs="Arial"/>
          <w:sz w:val="20"/>
          <w:szCs w:val="20"/>
        </w:rPr>
        <w:t>Review the Company Methodology Statement for appropriateness and completeness</w:t>
      </w:r>
    </w:p>
    <w:p w:rsidR="0094026C" w:rsidRPr="00974283" w:rsidRDefault="0094026C" w:rsidP="00944ED0">
      <w:pPr>
        <w:pStyle w:val="ListParagraph"/>
        <w:numPr>
          <w:ilvl w:val="0"/>
          <w:numId w:val="4"/>
        </w:numPr>
        <w:rPr>
          <w:rFonts w:ascii="Arial" w:hAnsi="Arial" w:cs="Arial"/>
          <w:sz w:val="20"/>
          <w:szCs w:val="20"/>
        </w:rPr>
      </w:pPr>
      <w:r w:rsidRPr="00974283">
        <w:rPr>
          <w:rFonts w:ascii="Arial" w:hAnsi="Arial" w:cs="Arial"/>
          <w:sz w:val="20"/>
          <w:szCs w:val="20"/>
        </w:rPr>
        <w:t xml:space="preserve">Compare with the convergence project methodology for this measure. </w:t>
      </w:r>
    </w:p>
    <w:p w:rsidR="0094026C" w:rsidRPr="00974283" w:rsidRDefault="0094026C" w:rsidP="00944ED0">
      <w:pPr>
        <w:pStyle w:val="ListParagraph"/>
        <w:numPr>
          <w:ilvl w:val="0"/>
          <w:numId w:val="4"/>
        </w:numPr>
        <w:rPr>
          <w:rFonts w:ascii="Arial" w:hAnsi="Arial" w:cs="Arial"/>
          <w:sz w:val="20"/>
          <w:szCs w:val="20"/>
        </w:rPr>
      </w:pPr>
      <w:r w:rsidRPr="00974283">
        <w:rPr>
          <w:rFonts w:ascii="Arial" w:hAnsi="Arial" w:cs="Arial"/>
          <w:sz w:val="20"/>
          <w:szCs w:val="20"/>
        </w:rPr>
        <w:t>Confirm the accuracy of the figure to be reported for leakage.</w:t>
      </w:r>
    </w:p>
    <w:p w:rsidR="0094026C" w:rsidRPr="00974283" w:rsidRDefault="0094026C" w:rsidP="00944ED0">
      <w:pPr>
        <w:pStyle w:val="ListParagraph"/>
        <w:numPr>
          <w:ilvl w:val="0"/>
          <w:numId w:val="4"/>
        </w:numPr>
        <w:rPr>
          <w:rFonts w:ascii="Arial" w:hAnsi="Arial" w:cs="Arial"/>
          <w:sz w:val="20"/>
          <w:szCs w:val="20"/>
        </w:rPr>
      </w:pPr>
      <w:r w:rsidRPr="00974283">
        <w:rPr>
          <w:rFonts w:ascii="Arial" w:hAnsi="Arial" w:cs="Arial"/>
          <w:sz w:val="20"/>
          <w:szCs w:val="20"/>
        </w:rPr>
        <w:t>Confirm the magnitude of the change in leakage methodology as a result of the new methodology.</w:t>
      </w:r>
    </w:p>
    <w:p w:rsidR="0094026C" w:rsidRPr="00974283" w:rsidRDefault="0094026C" w:rsidP="0094026C">
      <w:pPr>
        <w:rPr>
          <w:rFonts w:ascii="Arial" w:hAnsi="Arial" w:cs="Arial"/>
          <w:sz w:val="20"/>
          <w:szCs w:val="20"/>
        </w:rPr>
      </w:pPr>
      <w:r w:rsidRPr="00974283">
        <w:rPr>
          <w:rFonts w:ascii="Arial" w:hAnsi="Arial" w:cs="Arial"/>
          <w:sz w:val="20"/>
          <w:szCs w:val="20"/>
        </w:rPr>
        <w:t>Guaranteed Standards of Service</w:t>
      </w:r>
    </w:p>
    <w:p w:rsidR="0094026C" w:rsidRPr="00974283" w:rsidRDefault="0094026C" w:rsidP="00944ED0">
      <w:pPr>
        <w:pStyle w:val="ListParagraph"/>
        <w:numPr>
          <w:ilvl w:val="0"/>
          <w:numId w:val="11"/>
        </w:numPr>
        <w:rPr>
          <w:rFonts w:ascii="Arial" w:hAnsi="Arial" w:cs="Arial"/>
          <w:sz w:val="20"/>
          <w:szCs w:val="20"/>
        </w:rPr>
      </w:pPr>
      <w:r w:rsidRPr="00974283">
        <w:rPr>
          <w:rFonts w:ascii="Arial" w:hAnsi="Arial" w:cs="Arial"/>
          <w:sz w:val="20"/>
          <w:szCs w:val="20"/>
        </w:rPr>
        <w:t>Review the Company processes underpinning GSS</w:t>
      </w:r>
    </w:p>
    <w:p w:rsidR="0094026C" w:rsidRPr="00974283" w:rsidRDefault="0094026C" w:rsidP="00944ED0">
      <w:pPr>
        <w:pStyle w:val="ListParagraph"/>
        <w:numPr>
          <w:ilvl w:val="0"/>
          <w:numId w:val="11"/>
        </w:numPr>
        <w:rPr>
          <w:rFonts w:ascii="Arial" w:hAnsi="Arial" w:cs="Arial"/>
          <w:sz w:val="20"/>
          <w:szCs w:val="20"/>
        </w:rPr>
      </w:pPr>
      <w:r w:rsidRPr="00974283">
        <w:rPr>
          <w:rFonts w:ascii="Arial" w:hAnsi="Arial" w:cs="Arial"/>
          <w:sz w:val="20"/>
          <w:szCs w:val="20"/>
        </w:rPr>
        <w:t>Report the compliance (or otherwise) of all departments (including payment of the GSS) in this process</w:t>
      </w:r>
    </w:p>
    <w:p w:rsidR="0094026C" w:rsidRPr="00974283" w:rsidRDefault="0094026C" w:rsidP="00944ED0">
      <w:pPr>
        <w:pStyle w:val="ListParagraph"/>
        <w:numPr>
          <w:ilvl w:val="0"/>
          <w:numId w:val="11"/>
        </w:numPr>
        <w:rPr>
          <w:rFonts w:ascii="Arial" w:hAnsi="Arial" w:cs="Arial"/>
          <w:sz w:val="20"/>
          <w:szCs w:val="20"/>
        </w:rPr>
      </w:pPr>
      <w:r w:rsidRPr="00974283">
        <w:rPr>
          <w:rFonts w:ascii="Arial" w:hAnsi="Arial" w:cs="Arial"/>
          <w:sz w:val="20"/>
          <w:szCs w:val="20"/>
        </w:rPr>
        <w:t>Confirm the accuracy of the value and number of GSS payments made by the Company in the year.</w:t>
      </w:r>
    </w:p>
    <w:p w:rsidR="00F454FF" w:rsidRPr="00974283" w:rsidRDefault="00F454FF" w:rsidP="0094026C">
      <w:pPr>
        <w:rPr>
          <w:rFonts w:ascii="Arial" w:hAnsi="Arial" w:cs="Arial"/>
          <w:sz w:val="20"/>
          <w:szCs w:val="20"/>
        </w:rPr>
      </w:pPr>
      <w:r w:rsidRPr="00974283">
        <w:rPr>
          <w:rFonts w:ascii="Arial" w:hAnsi="Arial" w:cs="Arial"/>
          <w:sz w:val="20"/>
          <w:szCs w:val="20"/>
        </w:rPr>
        <w:t>Developer Levels of service</w:t>
      </w:r>
    </w:p>
    <w:p w:rsidR="00974283" w:rsidRPr="00974283" w:rsidRDefault="00974283" w:rsidP="00974283">
      <w:pPr>
        <w:pStyle w:val="ListParagraph"/>
        <w:numPr>
          <w:ilvl w:val="0"/>
          <w:numId w:val="22"/>
        </w:numPr>
        <w:rPr>
          <w:rFonts w:ascii="Arial" w:hAnsi="Arial" w:cs="Arial"/>
          <w:sz w:val="20"/>
          <w:szCs w:val="20"/>
        </w:rPr>
      </w:pPr>
      <w:r w:rsidRPr="00974283">
        <w:rPr>
          <w:rFonts w:ascii="Arial" w:hAnsi="Arial" w:cs="Arial"/>
          <w:sz w:val="20"/>
          <w:szCs w:val="20"/>
        </w:rPr>
        <w:t>Review the Company processes underpinning its reporting of LoS</w:t>
      </w:r>
    </w:p>
    <w:p w:rsidR="00974283" w:rsidRPr="00974283" w:rsidRDefault="00974283" w:rsidP="00974283">
      <w:pPr>
        <w:pStyle w:val="ListParagraph"/>
        <w:numPr>
          <w:ilvl w:val="0"/>
          <w:numId w:val="22"/>
        </w:numPr>
        <w:rPr>
          <w:rFonts w:ascii="Arial" w:hAnsi="Arial" w:cs="Arial"/>
          <w:sz w:val="20"/>
          <w:szCs w:val="20"/>
        </w:rPr>
      </w:pPr>
      <w:r w:rsidRPr="00974283">
        <w:rPr>
          <w:rFonts w:ascii="Arial" w:hAnsi="Arial" w:cs="Arial"/>
          <w:sz w:val="20"/>
          <w:szCs w:val="20"/>
        </w:rPr>
        <w:t>Report the compliance (or otherwise) of this process</w:t>
      </w:r>
    </w:p>
    <w:p w:rsidR="00974283" w:rsidRPr="00974283" w:rsidRDefault="00974283" w:rsidP="00974283">
      <w:pPr>
        <w:pStyle w:val="ListParagraph"/>
        <w:numPr>
          <w:ilvl w:val="0"/>
          <w:numId w:val="22"/>
        </w:numPr>
        <w:rPr>
          <w:rFonts w:ascii="Arial" w:hAnsi="Arial" w:cs="Arial"/>
          <w:sz w:val="20"/>
          <w:szCs w:val="20"/>
        </w:rPr>
      </w:pPr>
      <w:r w:rsidRPr="00974283">
        <w:rPr>
          <w:rFonts w:ascii="Arial" w:hAnsi="Arial" w:cs="Arial"/>
          <w:sz w:val="20"/>
          <w:szCs w:val="20"/>
        </w:rPr>
        <w:t>Confirm the accuracy of the data submitted to WaterUK in the year.</w:t>
      </w:r>
    </w:p>
    <w:p w:rsidR="0094026C" w:rsidRPr="00974283" w:rsidRDefault="0094026C" w:rsidP="0094026C">
      <w:pPr>
        <w:rPr>
          <w:rFonts w:ascii="Arial" w:hAnsi="Arial" w:cs="Arial"/>
          <w:sz w:val="20"/>
          <w:szCs w:val="20"/>
        </w:rPr>
      </w:pPr>
      <w:r w:rsidRPr="00974283">
        <w:rPr>
          <w:rFonts w:ascii="Arial" w:hAnsi="Arial" w:cs="Arial"/>
          <w:sz w:val="20"/>
          <w:szCs w:val="20"/>
        </w:rPr>
        <w:t>Social Tariff</w:t>
      </w:r>
    </w:p>
    <w:p w:rsidR="0094026C" w:rsidRPr="00974283" w:rsidRDefault="0094026C" w:rsidP="00944ED0">
      <w:pPr>
        <w:pStyle w:val="ListParagraph"/>
        <w:numPr>
          <w:ilvl w:val="0"/>
          <w:numId w:val="12"/>
        </w:numPr>
        <w:rPr>
          <w:rFonts w:ascii="Arial" w:hAnsi="Arial" w:cs="Arial"/>
          <w:sz w:val="20"/>
          <w:szCs w:val="20"/>
        </w:rPr>
      </w:pPr>
      <w:r w:rsidRPr="00974283">
        <w:rPr>
          <w:rFonts w:ascii="Arial" w:hAnsi="Arial" w:cs="Arial"/>
          <w:sz w:val="20"/>
          <w:szCs w:val="20"/>
        </w:rPr>
        <w:t>Confirm the number of customers on the Social Tariff as at year end</w:t>
      </w:r>
    </w:p>
    <w:p w:rsidR="0094026C" w:rsidRPr="00974283" w:rsidRDefault="0094026C" w:rsidP="00944ED0">
      <w:pPr>
        <w:pStyle w:val="ListParagraph"/>
        <w:numPr>
          <w:ilvl w:val="0"/>
          <w:numId w:val="12"/>
        </w:numPr>
        <w:rPr>
          <w:rFonts w:ascii="Arial" w:hAnsi="Arial" w:cs="Arial"/>
          <w:sz w:val="20"/>
          <w:szCs w:val="20"/>
        </w:rPr>
      </w:pPr>
      <w:r w:rsidRPr="00974283">
        <w:rPr>
          <w:rFonts w:ascii="Arial" w:hAnsi="Arial" w:cs="Arial"/>
          <w:sz w:val="20"/>
          <w:szCs w:val="20"/>
        </w:rPr>
        <w:t>Confirm the value of the “discount” given in the year</w:t>
      </w:r>
    </w:p>
    <w:p w:rsidR="0094026C" w:rsidRPr="00974283" w:rsidRDefault="0094026C" w:rsidP="00944ED0">
      <w:pPr>
        <w:pStyle w:val="ListParagraph"/>
        <w:numPr>
          <w:ilvl w:val="0"/>
          <w:numId w:val="12"/>
        </w:numPr>
        <w:rPr>
          <w:rFonts w:ascii="Arial" w:hAnsi="Arial" w:cs="Arial"/>
          <w:sz w:val="20"/>
          <w:szCs w:val="20"/>
        </w:rPr>
      </w:pPr>
      <w:r w:rsidRPr="00974283">
        <w:rPr>
          <w:rFonts w:ascii="Arial" w:hAnsi="Arial" w:cs="Arial"/>
          <w:sz w:val="20"/>
          <w:szCs w:val="20"/>
        </w:rPr>
        <w:t>Comment upon the application of the Company procedures</w:t>
      </w:r>
    </w:p>
    <w:p w:rsidR="0094026C" w:rsidRPr="00974283" w:rsidRDefault="0094026C" w:rsidP="0094026C">
      <w:pPr>
        <w:rPr>
          <w:rFonts w:ascii="Arial" w:hAnsi="Arial" w:cs="Arial"/>
          <w:sz w:val="20"/>
          <w:szCs w:val="20"/>
        </w:rPr>
      </w:pPr>
      <w:r w:rsidRPr="00974283">
        <w:rPr>
          <w:rFonts w:ascii="Arial" w:hAnsi="Arial" w:cs="Arial"/>
          <w:sz w:val="20"/>
          <w:szCs w:val="20"/>
        </w:rPr>
        <w:t>Greenhouse gases</w:t>
      </w:r>
    </w:p>
    <w:p w:rsidR="0094026C" w:rsidRPr="00974283" w:rsidRDefault="0094026C" w:rsidP="00944ED0">
      <w:pPr>
        <w:pStyle w:val="ListParagraph"/>
        <w:numPr>
          <w:ilvl w:val="0"/>
          <w:numId w:val="13"/>
        </w:numPr>
        <w:rPr>
          <w:rFonts w:ascii="Arial" w:hAnsi="Arial" w:cs="Arial"/>
          <w:sz w:val="20"/>
          <w:szCs w:val="20"/>
        </w:rPr>
      </w:pPr>
      <w:r w:rsidRPr="00974283">
        <w:rPr>
          <w:rFonts w:ascii="Arial" w:hAnsi="Arial" w:cs="Arial"/>
          <w:sz w:val="20"/>
          <w:szCs w:val="20"/>
        </w:rPr>
        <w:t>Confirm the accuracy of the Company estimate of GHG for the year.</w:t>
      </w:r>
    </w:p>
    <w:p w:rsidR="0094026C" w:rsidRPr="00974283" w:rsidRDefault="0094026C" w:rsidP="00944ED0">
      <w:pPr>
        <w:pStyle w:val="ListParagraph"/>
        <w:numPr>
          <w:ilvl w:val="0"/>
          <w:numId w:val="13"/>
        </w:numPr>
        <w:rPr>
          <w:rFonts w:ascii="Arial" w:hAnsi="Arial" w:cs="Arial"/>
          <w:sz w:val="20"/>
          <w:szCs w:val="20"/>
        </w:rPr>
      </w:pPr>
      <w:r w:rsidRPr="00974283">
        <w:rPr>
          <w:rFonts w:ascii="Arial" w:hAnsi="Arial" w:cs="Arial"/>
          <w:sz w:val="20"/>
          <w:szCs w:val="20"/>
        </w:rPr>
        <w:t>Confirm the appropriateness of the assumptions underpinning the value</w:t>
      </w:r>
    </w:p>
    <w:p w:rsidR="0094026C" w:rsidRPr="00974283" w:rsidRDefault="0094026C" w:rsidP="00944ED0">
      <w:pPr>
        <w:pStyle w:val="ListParagraph"/>
        <w:numPr>
          <w:ilvl w:val="0"/>
          <w:numId w:val="13"/>
        </w:numPr>
        <w:rPr>
          <w:rFonts w:ascii="Arial" w:hAnsi="Arial" w:cs="Arial"/>
          <w:sz w:val="20"/>
          <w:szCs w:val="20"/>
        </w:rPr>
      </w:pPr>
      <w:r w:rsidRPr="00974283">
        <w:rPr>
          <w:rFonts w:ascii="Arial" w:hAnsi="Arial" w:cs="Arial"/>
          <w:sz w:val="20"/>
          <w:szCs w:val="20"/>
        </w:rPr>
        <w:t>Confirm adherence to the UKWIR best practice methodology</w:t>
      </w:r>
    </w:p>
    <w:p w:rsidR="0094026C" w:rsidRPr="00974283" w:rsidRDefault="0094026C" w:rsidP="0094026C">
      <w:pPr>
        <w:rPr>
          <w:rFonts w:ascii="Arial" w:hAnsi="Arial" w:cs="Arial"/>
          <w:sz w:val="20"/>
          <w:szCs w:val="20"/>
        </w:rPr>
      </w:pPr>
      <w:r w:rsidRPr="00974283">
        <w:rPr>
          <w:rFonts w:ascii="Arial" w:hAnsi="Arial" w:cs="Arial"/>
          <w:sz w:val="20"/>
          <w:szCs w:val="20"/>
        </w:rPr>
        <w:t>Communication pipes</w:t>
      </w:r>
    </w:p>
    <w:p w:rsidR="0094026C" w:rsidRPr="00974283" w:rsidRDefault="0094026C" w:rsidP="00944ED0">
      <w:pPr>
        <w:pStyle w:val="ListParagraph"/>
        <w:numPr>
          <w:ilvl w:val="0"/>
          <w:numId w:val="13"/>
        </w:numPr>
        <w:rPr>
          <w:rFonts w:ascii="Arial" w:hAnsi="Arial" w:cs="Arial"/>
          <w:sz w:val="20"/>
          <w:szCs w:val="20"/>
        </w:rPr>
      </w:pPr>
      <w:r w:rsidRPr="00974283">
        <w:rPr>
          <w:rFonts w:ascii="Arial" w:hAnsi="Arial" w:cs="Arial"/>
          <w:sz w:val="20"/>
          <w:szCs w:val="20"/>
        </w:rPr>
        <w:t>Confirm the accuracy of the Company estimate for communication pipes by material for the year.</w:t>
      </w:r>
    </w:p>
    <w:p w:rsidR="0094026C" w:rsidRPr="00974283" w:rsidRDefault="0094026C" w:rsidP="00944ED0">
      <w:pPr>
        <w:pStyle w:val="ListParagraph"/>
        <w:numPr>
          <w:ilvl w:val="0"/>
          <w:numId w:val="13"/>
        </w:numPr>
        <w:rPr>
          <w:rFonts w:ascii="Arial" w:hAnsi="Arial" w:cs="Arial"/>
          <w:sz w:val="20"/>
          <w:szCs w:val="20"/>
        </w:rPr>
      </w:pPr>
      <w:r w:rsidRPr="00974283">
        <w:rPr>
          <w:rFonts w:ascii="Arial" w:hAnsi="Arial" w:cs="Arial"/>
          <w:sz w:val="20"/>
          <w:szCs w:val="20"/>
        </w:rPr>
        <w:t>Confirm the appropriateness of any assumptions underpinning the value</w:t>
      </w:r>
    </w:p>
    <w:p w:rsidR="0094026C" w:rsidRPr="00974283" w:rsidRDefault="0094026C" w:rsidP="00944ED0">
      <w:pPr>
        <w:pStyle w:val="ListParagraph"/>
        <w:numPr>
          <w:ilvl w:val="0"/>
          <w:numId w:val="13"/>
        </w:numPr>
        <w:rPr>
          <w:rFonts w:ascii="Arial" w:hAnsi="Arial" w:cs="Arial"/>
          <w:sz w:val="20"/>
          <w:szCs w:val="20"/>
        </w:rPr>
      </w:pPr>
      <w:r w:rsidRPr="00974283">
        <w:rPr>
          <w:rFonts w:ascii="Arial" w:hAnsi="Arial" w:cs="Arial"/>
          <w:sz w:val="20"/>
          <w:szCs w:val="20"/>
        </w:rPr>
        <w:t>Confirm the accuracy of the GIS records underpinning the analysis.</w:t>
      </w:r>
    </w:p>
    <w:p w:rsidR="00057093" w:rsidRPr="00974283" w:rsidRDefault="00057093">
      <w:pPr>
        <w:rPr>
          <w:rFonts w:ascii="Arial" w:hAnsi="Arial" w:cs="Arial"/>
          <w:b/>
          <w:sz w:val="20"/>
          <w:szCs w:val="20"/>
        </w:rPr>
      </w:pPr>
    </w:p>
    <w:sectPr w:rsidR="00057093" w:rsidRPr="00974283" w:rsidSect="001672F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50C" w:rsidRDefault="0027650C" w:rsidP="001D1162">
      <w:pPr>
        <w:spacing w:after="0" w:line="240" w:lineRule="auto"/>
      </w:pPr>
      <w:r>
        <w:separator/>
      </w:r>
    </w:p>
  </w:endnote>
  <w:endnote w:type="continuationSeparator" w:id="0">
    <w:p w:rsidR="0027650C" w:rsidRDefault="0027650C" w:rsidP="001D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5B" w:rsidRDefault="0015715B" w:rsidP="00B73835">
    <w:pPr>
      <w:pStyle w:val="Footer"/>
      <w:pBdr>
        <w:top w:val="single" w:sz="4" w:space="1" w:color="auto"/>
      </w:pBdr>
      <w:rPr>
        <w:rFonts w:ascii="Arial" w:hAnsi="Arial" w:cs="Arial"/>
        <w:sz w:val="20"/>
        <w:szCs w:val="20"/>
      </w:rPr>
    </w:pPr>
  </w:p>
  <w:p w:rsidR="0015715B" w:rsidRPr="00B73835" w:rsidRDefault="0015715B" w:rsidP="00B73835">
    <w:pPr>
      <w:pStyle w:val="Footer"/>
      <w:pBdr>
        <w:top w:val="single" w:sz="4" w:space="1" w:color="auto"/>
      </w:pBdr>
      <w:rPr>
        <w:rFonts w:ascii="Arial" w:hAnsi="Arial" w:cs="Arial"/>
        <w:sz w:val="20"/>
        <w:szCs w:val="20"/>
      </w:rPr>
    </w:pPr>
    <w:r w:rsidRPr="00B73835">
      <w:rPr>
        <w:rFonts w:ascii="Arial" w:hAnsi="Arial" w:cs="Arial"/>
        <w:sz w:val="20"/>
        <w:szCs w:val="20"/>
      </w:rPr>
      <w:t>Portsmouth Water</w:t>
    </w:r>
    <w:r w:rsidRPr="00B73835">
      <w:rPr>
        <w:rFonts w:ascii="Arial" w:hAnsi="Arial" w:cs="Arial"/>
        <w:sz w:val="20"/>
        <w:szCs w:val="20"/>
      </w:rPr>
      <w:tab/>
    </w:r>
    <w:r>
      <w:rPr>
        <w:rFonts w:ascii="Arial" w:hAnsi="Arial" w:cs="Arial"/>
        <w:sz w:val="20"/>
        <w:szCs w:val="20"/>
      </w:rPr>
      <w:t>24</w:t>
    </w:r>
    <w:r w:rsidRPr="00B73835">
      <w:rPr>
        <w:rFonts w:ascii="Arial" w:hAnsi="Arial" w:cs="Arial"/>
        <w:sz w:val="20"/>
        <w:szCs w:val="20"/>
      </w:rPr>
      <w:t xml:space="preserve"> </w:t>
    </w:r>
    <w:r>
      <w:rPr>
        <w:rFonts w:ascii="Arial" w:hAnsi="Arial" w:cs="Arial"/>
        <w:sz w:val="20"/>
        <w:szCs w:val="20"/>
      </w:rPr>
      <w:t>April 2019</w:t>
    </w:r>
    <w:r w:rsidRPr="00B73835">
      <w:rPr>
        <w:rFonts w:ascii="Arial" w:hAnsi="Arial" w:cs="Arial"/>
        <w:sz w:val="20"/>
        <w:szCs w:val="20"/>
      </w:rPr>
      <w:tab/>
    </w:r>
    <w:sdt>
      <w:sdtPr>
        <w:rPr>
          <w:rFonts w:ascii="Arial" w:hAnsi="Arial" w:cs="Arial"/>
          <w:sz w:val="20"/>
          <w:szCs w:val="20"/>
        </w:rPr>
        <w:id w:val="1321547930"/>
        <w:docPartObj>
          <w:docPartGallery w:val="Page Numbers (Bottom of Page)"/>
          <w:docPartUnique/>
        </w:docPartObj>
      </w:sdtPr>
      <w:sdtEndPr>
        <w:rPr>
          <w:noProof/>
        </w:rPr>
      </w:sdtEndPr>
      <w:sdtContent>
        <w:r w:rsidRPr="00B73835">
          <w:rPr>
            <w:rFonts w:ascii="Arial" w:hAnsi="Arial" w:cs="Arial"/>
            <w:sz w:val="20"/>
            <w:szCs w:val="20"/>
          </w:rPr>
          <w:fldChar w:fldCharType="begin"/>
        </w:r>
        <w:r w:rsidRPr="00B73835">
          <w:rPr>
            <w:rFonts w:ascii="Arial" w:hAnsi="Arial" w:cs="Arial"/>
            <w:sz w:val="20"/>
            <w:szCs w:val="20"/>
          </w:rPr>
          <w:instrText xml:space="preserve"> PAGE   \* MERGEFORMAT </w:instrText>
        </w:r>
        <w:r w:rsidRPr="00B73835">
          <w:rPr>
            <w:rFonts w:ascii="Arial" w:hAnsi="Arial" w:cs="Arial"/>
            <w:sz w:val="20"/>
            <w:szCs w:val="20"/>
          </w:rPr>
          <w:fldChar w:fldCharType="separate"/>
        </w:r>
        <w:r w:rsidR="0062638D">
          <w:rPr>
            <w:rFonts w:ascii="Arial" w:hAnsi="Arial" w:cs="Arial"/>
            <w:noProof/>
            <w:sz w:val="20"/>
            <w:szCs w:val="20"/>
          </w:rPr>
          <w:t>2</w:t>
        </w:r>
        <w:r w:rsidRPr="00B73835">
          <w:rPr>
            <w:rFonts w:ascii="Arial" w:hAnsi="Arial" w:cs="Arial"/>
            <w:noProof/>
            <w:sz w:val="20"/>
            <w:szCs w:val="20"/>
          </w:rPr>
          <w:fldChar w:fldCharType="end"/>
        </w:r>
      </w:sdtContent>
    </w:sdt>
  </w:p>
  <w:p w:rsidR="0015715B" w:rsidRDefault="00157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50C" w:rsidRDefault="0027650C" w:rsidP="001D1162">
      <w:pPr>
        <w:spacing w:after="0" w:line="240" w:lineRule="auto"/>
      </w:pPr>
      <w:r>
        <w:separator/>
      </w:r>
    </w:p>
  </w:footnote>
  <w:footnote w:type="continuationSeparator" w:id="0">
    <w:p w:rsidR="0027650C" w:rsidRDefault="0027650C" w:rsidP="001D1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3EFD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566A5"/>
    <w:multiLevelType w:val="hybridMultilevel"/>
    <w:tmpl w:val="32986C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4641F27"/>
    <w:multiLevelType w:val="multilevel"/>
    <w:tmpl w:val="E4345F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038E9"/>
    <w:multiLevelType w:val="multilevel"/>
    <w:tmpl w:val="1D3A8228"/>
    <w:lvl w:ilvl="0">
      <w:start w:val="1"/>
      <w:numFmt w:val="decimal"/>
      <w:lvlText w:val="%1."/>
      <w:lvlJc w:val="left"/>
      <w:pPr>
        <w:ind w:left="3336" w:hanging="360"/>
      </w:pPr>
      <w:rPr>
        <w:rFonts w:hint="default"/>
      </w:rPr>
    </w:lvl>
    <w:lvl w:ilvl="1">
      <w:start w:val="1"/>
      <w:numFmt w:val="decimal"/>
      <w:isLgl/>
      <w:lvlText w:val="%1.%2."/>
      <w:lvlJc w:val="left"/>
      <w:pPr>
        <w:ind w:left="2126"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2704"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064" w:hanging="1080"/>
      </w:pPr>
      <w:rPr>
        <w:rFonts w:hint="default"/>
      </w:rPr>
    </w:lvl>
    <w:lvl w:ilvl="6">
      <w:start w:val="1"/>
      <w:numFmt w:val="decimal"/>
      <w:isLgl/>
      <w:lvlText w:val="%1.%2.%3.%4.%5.%6.%7."/>
      <w:lvlJc w:val="left"/>
      <w:pPr>
        <w:ind w:left="3424" w:hanging="1440"/>
      </w:pPr>
      <w:rPr>
        <w:rFonts w:hint="default"/>
      </w:rPr>
    </w:lvl>
    <w:lvl w:ilvl="7">
      <w:start w:val="1"/>
      <w:numFmt w:val="decimal"/>
      <w:isLgl/>
      <w:lvlText w:val="%1.%2.%3.%4.%5.%6.%7.%8."/>
      <w:lvlJc w:val="left"/>
      <w:pPr>
        <w:ind w:left="3424" w:hanging="1440"/>
      </w:pPr>
      <w:rPr>
        <w:rFonts w:hint="default"/>
      </w:rPr>
    </w:lvl>
    <w:lvl w:ilvl="8">
      <w:start w:val="1"/>
      <w:numFmt w:val="decimal"/>
      <w:isLgl/>
      <w:lvlText w:val="%1.%2.%3.%4.%5.%6.%7.%8.%9."/>
      <w:lvlJc w:val="left"/>
      <w:pPr>
        <w:ind w:left="3784" w:hanging="1800"/>
      </w:pPr>
      <w:rPr>
        <w:rFonts w:hint="default"/>
      </w:rPr>
    </w:lvl>
  </w:abstractNum>
  <w:abstractNum w:abstractNumId="4" w15:restartNumberingAfterBreak="0">
    <w:nsid w:val="0EF446E8"/>
    <w:multiLevelType w:val="hybridMultilevel"/>
    <w:tmpl w:val="E12C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F1DD4"/>
    <w:multiLevelType w:val="hybridMultilevel"/>
    <w:tmpl w:val="F2706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CB7E82"/>
    <w:multiLevelType w:val="hybridMultilevel"/>
    <w:tmpl w:val="185C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65ED0"/>
    <w:multiLevelType w:val="hybridMultilevel"/>
    <w:tmpl w:val="ED70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12CA3"/>
    <w:multiLevelType w:val="hybridMultilevel"/>
    <w:tmpl w:val="3E662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E32795E"/>
    <w:multiLevelType w:val="hybridMultilevel"/>
    <w:tmpl w:val="AE9AD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076619B"/>
    <w:multiLevelType w:val="hybridMultilevel"/>
    <w:tmpl w:val="8E2C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52014"/>
    <w:multiLevelType w:val="hybridMultilevel"/>
    <w:tmpl w:val="C76AD2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426C712C"/>
    <w:multiLevelType w:val="multilevel"/>
    <w:tmpl w:val="66C4E9C0"/>
    <w:lvl w:ilvl="0">
      <w:start w:val="2"/>
      <w:numFmt w:val="decimal"/>
      <w:lvlText w:val="%1"/>
      <w:lvlJc w:val="left"/>
      <w:pPr>
        <w:ind w:left="420" w:hanging="420"/>
      </w:pPr>
      <w:rPr>
        <w:rFonts w:hint="default"/>
      </w:rPr>
    </w:lvl>
    <w:lvl w:ilvl="1">
      <w:start w:val="18"/>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8064CB"/>
    <w:multiLevelType w:val="multilevel"/>
    <w:tmpl w:val="23C0E5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0263CF"/>
    <w:multiLevelType w:val="multilevel"/>
    <w:tmpl w:val="7C24F9B4"/>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0549DA"/>
    <w:multiLevelType w:val="hybridMultilevel"/>
    <w:tmpl w:val="E456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DC2BD9"/>
    <w:multiLevelType w:val="hybridMultilevel"/>
    <w:tmpl w:val="9856A878"/>
    <w:lvl w:ilvl="0" w:tplc="8D2A2AC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5C0C48"/>
    <w:multiLevelType w:val="hybridMultilevel"/>
    <w:tmpl w:val="ADA4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0B3507"/>
    <w:multiLevelType w:val="multilevel"/>
    <w:tmpl w:val="F09AF1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DA2593A"/>
    <w:multiLevelType w:val="multilevel"/>
    <w:tmpl w:val="93DE3DAA"/>
    <w:lvl w:ilvl="0">
      <w:start w:val="2"/>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685C52C1"/>
    <w:multiLevelType w:val="hybridMultilevel"/>
    <w:tmpl w:val="F992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9D569F"/>
    <w:multiLevelType w:val="hybridMultilevel"/>
    <w:tmpl w:val="A22C1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F223942"/>
    <w:multiLevelType w:val="hybridMultilevel"/>
    <w:tmpl w:val="A9AE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B7348"/>
    <w:multiLevelType w:val="hybridMultilevel"/>
    <w:tmpl w:val="E98A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20"/>
  </w:num>
  <w:num w:numId="5">
    <w:abstractNumId w:val="15"/>
  </w:num>
  <w:num w:numId="6">
    <w:abstractNumId w:val="23"/>
  </w:num>
  <w:num w:numId="7">
    <w:abstractNumId w:val="0"/>
  </w:num>
  <w:num w:numId="8">
    <w:abstractNumId w:val="21"/>
  </w:num>
  <w:num w:numId="9">
    <w:abstractNumId w:val="1"/>
  </w:num>
  <w:num w:numId="10">
    <w:abstractNumId w:val="5"/>
  </w:num>
  <w:num w:numId="11">
    <w:abstractNumId w:val="4"/>
  </w:num>
  <w:num w:numId="12">
    <w:abstractNumId w:val="17"/>
  </w:num>
  <w:num w:numId="13">
    <w:abstractNumId w:val="8"/>
  </w:num>
  <w:num w:numId="14">
    <w:abstractNumId w:val="11"/>
  </w:num>
  <w:num w:numId="15">
    <w:abstractNumId w:val="9"/>
  </w:num>
  <w:num w:numId="16">
    <w:abstractNumId w:val="16"/>
  </w:num>
  <w:num w:numId="17">
    <w:abstractNumId w:val="19"/>
  </w:num>
  <w:num w:numId="18">
    <w:abstractNumId w:val="14"/>
  </w:num>
  <w:num w:numId="19">
    <w:abstractNumId w:val="12"/>
  </w:num>
  <w:num w:numId="20">
    <w:abstractNumId w:val="6"/>
  </w:num>
  <w:num w:numId="21">
    <w:abstractNumId w:val="13"/>
  </w:num>
  <w:num w:numId="22">
    <w:abstractNumId w:val="22"/>
  </w:num>
  <w:num w:numId="23">
    <w:abstractNumId w:val="2"/>
  </w:num>
  <w:num w:numId="2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E8"/>
    <w:rsid w:val="00006368"/>
    <w:rsid w:val="00006AD1"/>
    <w:rsid w:val="00024359"/>
    <w:rsid w:val="00025B1C"/>
    <w:rsid w:val="0003309C"/>
    <w:rsid w:val="00034CEE"/>
    <w:rsid w:val="0003645C"/>
    <w:rsid w:val="000364E4"/>
    <w:rsid w:val="00041D69"/>
    <w:rsid w:val="00057093"/>
    <w:rsid w:val="00074941"/>
    <w:rsid w:val="00076800"/>
    <w:rsid w:val="000836D2"/>
    <w:rsid w:val="000A71CA"/>
    <w:rsid w:val="000B7B5A"/>
    <w:rsid w:val="000D243F"/>
    <w:rsid w:val="000D3686"/>
    <w:rsid w:val="000D3D50"/>
    <w:rsid w:val="000D64CB"/>
    <w:rsid w:val="000D7E13"/>
    <w:rsid w:val="000E36E0"/>
    <w:rsid w:val="000F192F"/>
    <w:rsid w:val="000F3B3B"/>
    <w:rsid w:val="00107680"/>
    <w:rsid w:val="00117B0A"/>
    <w:rsid w:val="00121AED"/>
    <w:rsid w:val="00124A89"/>
    <w:rsid w:val="001300D2"/>
    <w:rsid w:val="00134324"/>
    <w:rsid w:val="0013513D"/>
    <w:rsid w:val="00136A80"/>
    <w:rsid w:val="001509FA"/>
    <w:rsid w:val="0015368D"/>
    <w:rsid w:val="0015715B"/>
    <w:rsid w:val="00157FC8"/>
    <w:rsid w:val="001617E8"/>
    <w:rsid w:val="00163B0D"/>
    <w:rsid w:val="001672F9"/>
    <w:rsid w:val="00171F97"/>
    <w:rsid w:val="00173928"/>
    <w:rsid w:val="001841DC"/>
    <w:rsid w:val="0019092A"/>
    <w:rsid w:val="00190A56"/>
    <w:rsid w:val="001927BA"/>
    <w:rsid w:val="001944E9"/>
    <w:rsid w:val="00195CF5"/>
    <w:rsid w:val="001A3F6D"/>
    <w:rsid w:val="001A53C8"/>
    <w:rsid w:val="001A75E1"/>
    <w:rsid w:val="001B1C2F"/>
    <w:rsid w:val="001B46A4"/>
    <w:rsid w:val="001B4D20"/>
    <w:rsid w:val="001C0FF0"/>
    <w:rsid w:val="001C57CF"/>
    <w:rsid w:val="001D04B8"/>
    <w:rsid w:val="001D1162"/>
    <w:rsid w:val="001D2F5E"/>
    <w:rsid w:val="001D5535"/>
    <w:rsid w:val="00200368"/>
    <w:rsid w:val="00212BFE"/>
    <w:rsid w:val="002149DB"/>
    <w:rsid w:val="0022699E"/>
    <w:rsid w:val="002279A8"/>
    <w:rsid w:val="002316DD"/>
    <w:rsid w:val="00234D58"/>
    <w:rsid w:val="00243A3D"/>
    <w:rsid w:val="00246AF3"/>
    <w:rsid w:val="00246BC1"/>
    <w:rsid w:val="0025163E"/>
    <w:rsid w:val="00253C40"/>
    <w:rsid w:val="002605B7"/>
    <w:rsid w:val="002610DD"/>
    <w:rsid w:val="002704EC"/>
    <w:rsid w:val="0027395E"/>
    <w:rsid w:val="00274BB3"/>
    <w:rsid w:val="0027650C"/>
    <w:rsid w:val="00280203"/>
    <w:rsid w:val="00281F91"/>
    <w:rsid w:val="00282D23"/>
    <w:rsid w:val="002854B1"/>
    <w:rsid w:val="0029185A"/>
    <w:rsid w:val="002A4BBB"/>
    <w:rsid w:val="002A5544"/>
    <w:rsid w:val="002B1E25"/>
    <w:rsid w:val="002B5123"/>
    <w:rsid w:val="002B70D1"/>
    <w:rsid w:val="002C0443"/>
    <w:rsid w:val="002C18A0"/>
    <w:rsid w:val="002D1806"/>
    <w:rsid w:val="002D772B"/>
    <w:rsid w:val="002E0640"/>
    <w:rsid w:val="002E19E8"/>
    <w:rsid w:val="002E1DBE"/>
    <w:rsid w:val="002E5A06"/>
    <w:rsid w:val="002F553C"/>
    <w:rsid w:val="002F738F"/>
    <w:rsid w:val="00300136"/>
    <w:rsid w:val="003030B9"/>
    <w:rsid w:val="003036FD"/>
    <w:rsid w:val="003047E5"/>
    <w:rsid w:val="0030738F"/>
    <w:rsid w:val="00307861"/>
    <w:rsid w:val="00311AB7"/>
    <w:rsid w:val="00315EBC"/>
    <w:rsid w:val="00317464"/>
    <w:rsid w:val="00327EB9"/>
    <w:rsid w:val="0033417D"/>
    <w:rsid w:val="00345B68"/>
    <w:rsid w:val="00355782"/>
    <w:rsid w:val="00361A5A"/>
    <w:rsid w:val="00365654"/>
    <w:rsid w:val="00372482"/>
    <w:rsid w:val="0037451E"/>
    <w:rsid w:val="00377AA8"/>
    <w:rsid w:val="003825D5"/>
    <w:rsid w:val="00383094"/>
    <w:rsid w:val="00390604"/>
    <w:rsid w:val="00391220"/>
    <w:rsid w:val="003940CB"/>
    <w:rsid w:val="0039413B"/>
    <w:rsid w:val="003A1B50"/>
    <w:rsid w:val="003A3277"/>
    <w:rsid w:val="003A6FA9"/>
    <w:rsid w:val="003B2F52"/>
    <w:rsid w:val="003B6749"/>
    <w:rsid w:val="003B7B66"/>
    <w:rsid w:val="003C1FE9"/>
    <w:rsid w:val="003C2517"/>
    <w:rsid w:val="003C297D"/>
    <w:rsid w:val="003D0610"/>
    <w:rsid w:val="003D19AA"/>
    <w:rsid w:val="003D3DF1"/>
    <w:rsid w:val="003E52B6"/>
    <w:rsid w:val="003F730D"/>
    <w:rsid w:val="00426509"/>
    <w:rsid w:val="0043770B"/>
    <w:rsid w:val="004377EC"/>
    <w:rsid w:val="00446461"/>
    <w:rsid w:val="00452418"/>
    <w:rsid w:val="00452B26"/>
    <w:rsid w:val="00457084"/>
    <w:rsid w:val="0046413F"/>
    <w:rsid w:val="00464E71"/>
    <w:rsid w:val="00467444"/>
    <w:rsid w:val="004716CD"/>
    <w:rsid w:val="0047595D"/>
    <w:rsid w:val="00477312"/>
    <w:rsid w:val="00483113"/>
    <w:rsid w:val="00483F8B"/>
    <w:rsid w:val="00492FE9"/>
    <w:rsid w:val="004A0C59"/>
    <w:rsid w:val="004A2AD3"/>
    <w:rsid w:val="004A5692"/>
    <w:rsid w:val="004B1BCB"/>
    <w:rsid w:val="004B4DF3"/>
    <w:rsid w:val="004C0B41"/>
    <w:rsid w:val="004C3711"/>
    <w:rsid w:val="004C38C4"/>
    <w:rsid w:val="004C4F0C"/>
    <w:rsid w:val="004C5305"/>
    <w:rsid w:val="004C55DC"/>
    <w:rsid w:val="004C7A18"/>
    <w:rsid w:val="004D1171"/>
    <w:rsid w:val="004E139B"/>
    <w:rsid w:val="004E1C1D"/>
    <w:rsid w:val="004E1DD9"/>
    <w:rsid w:val="004E6E87"/>
    <w:rsid w:val="004F0BF4"/>
    <w:rsid w:val="004F56A4"/>
    <w:rsid w:val="00500F82"/>
    <w:rsid w:val="00501306"/>
    <w:rsid w:val="00501EF9"/>
    <w:rsid w:val="0050216F"/>
    <w:rsid w:val="0051383D"/>
    <w:rsid w:val="005150DF"/>
    <w:rsid w:val="005152F8"/>
    <w:rsid w:val="005235DF"/>
    <w:rsid w:val="00524BF7"/>
    <w:rsid w:val="00530EAF"/>
    <w:rsid w:val="005367A4"/>
    <w:rsid w:val="00542380"/>
    <w:rsid w:val="005426D7"/>
    <w:rsid w:val="00543B24"/>
    <w:rsid w:val="00544624"/>
    <w:rsid w:val="005539CF"/>
    <w:rsid w:val="005563B1"/>
    <w:rsid w:val="00557777"/>
    <w:rsid w:val="00576F04"/>
    <w:rsid w:val="005850BF"/>
    <w:rsid w:val="00591DD0"/>
    <w:rsid w:val="00595FAF"/>
    <w:rsid w:val="005970DD"/>
    <w:rsid w:val="005B43C5"/>
    <w:rsid w:val="005B566D"/>
    <w:rsid w:val="005D6B2A"/>
    <w:rsid w:val="005D7563"/>
    <w:rsid w:val="005D7FE1"/>
    <w:rsid w:val="005E2EC0"/>
    <w:rsid w:val="005E45C6"/>
    <w:rsid w:val="005F3ABE"/>
    <w:rsid w:val="005F3BE2"/>
    <w:rsid w:val="005F4548"/>
    <w:rsid w:val="005F7388"/>
    <w:rsid w:val="00603703"/>
    <w:rsid w:val="006055E0"/>
    <w:rsid w:val="00605B67"/>
    <w:rsid w:val="0061290D"/>
    <w:rsid w:val="006239FB"/>
    <w:rsid w:val="006256C9"/>
    <w:rsid w:val="0062638D"/>
    <w:rsid w:val="00632F44"/>
    <w:rsid w:val="00635114"/>
    <w:rsid w:val="00640018"/>
    <w:rsid w:val="0066117D"/>
    <w:rsid w:val="00667AA8"/>
    <w:rsid w:val="00667B12"/>
    <w:rsid w:val="00671E54"/>
    <w:rsid w:val="00673E9E"/>
    <w:rsid w:val="00686ACD"/>
    <w:rsid w:val="006901A2"/>
    <w:rsid w:val="0069290D"/>
    <w:rsid w:val="00692A7C"/>
    <w:rsid w:val="0069768C"/>
    <w:rsid w:val="006B1452"/>
    <w:rsid w:val="006C4129"/>
    <w:rsid w:val="006C67DB"/>
    <w:rsid w:val="006D6716"/>
    <w:rsid w:val="006E1DB0"/>
    <w:rsid w:val="006E2023"/>
    <w:rsid w:val="006E43D3"/>
    <w:rsid w:val="006F7A37"/>
    <w:rsid w:val="00700880"/>
    <w:rsid w:val="0070249E"/>
    <w:rsid w:val="0070576D"/>
    <w:rsid w:val="007069C2"/>
    <w:rsid w:val="00710EB3"/>
    <w:rsid w:val="007135B0"/>
    <w:rsid w:val="0072117B"/>
    <w:rsid w:val="00724AD5"/>
    <w:rsid w:val="0072528C"/>
    <w:rsid w:val="00731EF7"/>
    <w:rsid w:val="00734ED3"/>
    <w:rsid w:val="00735D0A"/>
    <w:rsid w:val="007367C8"/>
    <w:rsid w:val="00742285"/>
    <w:rsid w:val="00742C77"/>
    <w:rsid w:val="0074304C"/>
    <w:rsid w:val="00757A23"/>
    <w:rsid w:val="0076296D"/>
    <w:rsid w:val="007660D8"/>
    <w:rsid w:val="00766BFB"/>
    <w:rsid w:val="00770C92"/>
    <w:rsid w:val="00773BC9"/>
    <w:rsid w:val="007777DF"/>
    <w:rsid w:val="0078728E"/>
    <w:rsid w:val="007902FE"/>
    <w:rsid w:val="007923EA"/>
    <w:rsid w:val="00794D9A"/>
    <w:rsid w:val="00794E8C"/>
    <w:rsid w:val="007A46C6"/>
    <w:rsid w:val="007C12F8"/>
    <w:rsid w:val="007C7FDF"/>
    <w:rsid w:val="007D1D00"/>
    <w:rsid w:val="007D5E07"/>
    <w:rsid w:val="007D6AA3"/>
    <w:rsid w:val="007D7F6A"/>
    <w:rsid w:val="007E1A00"/>
    <w:rsid w:val="007E45EF"/>
    <w:rsid w:val="007F1C6A"/>
    <w:rsid w:val="007F752D"/>
    <w:rsid w:val="00803AD1"/>
    <w:rsid w:val="00811845"/>
    <w:rsid w:val="00812282"/>
    <w:rsid w:val="00813B7B"/>
    <w:rsid w:val="0081445E"/>
    <w:rsid w:val="00825018"/>
    <w:rsid w:val="00825584"/>
    <w:rsid w:val="00825DF8"/>
    <w:rsid w:val="00833BAF"/>
    <w:rsid w:val="00837445"/>
    <w:rsid w:val="00841265"/>
    <w:rsid w:val="00847DEE"/>
    <w:rsid w:val="00850F22"/>
    <w:rsid w:val="0085195D"/>
    <w:rsid w:val="008557FF"/>
    <w:rsid w:val="00860BAF"/>
    <w:rsid w:val="008615EA"/>
    <w:rsid w:val="00865EE8"/>
    <w:rsid w:val="00877EE1"/>
    <w:rsid w:val="0088101B"/>
    <w:rsid w:val="0088216E"/>
    <w:rsid w:val="008834B7"/>
    <w:rsid w:val="00891A69"/>
    <w:rsid w:val="008936B0"/>
    <w:rsid w:val="008950CF"/>
    <w:rsid w:val="008A12E2"/>
    <w:rsid w:val="008A5D4A"/>
    <w:rsid w:val="008C6E6A"/>
    <w:rsid w:val="008E691B"/>
    <w:rsid w:val="008F0771"/>
    <w:rsid w:val="008F0C53"/>
    <w:rsid w:val="008F4C84"/>
    <w:rsid w:val="0090763B"/>
    <w:rsid w:val="00911E62"/>
    <w:rsid w:val="0092393A"/>
    <w:rsid w:val="00925E67"/>
    <w:rsid w:val="00936FE7"/>
    <w:rsid w:val="0094026C"/>
    <w:rsid w:val="0094189F"/>
    <w:rsid w:val="00944ED0"/>
    <w:rsid w:val="00947392"/>
    <w:rsid w:val="00947EB0"/>
    <w:rsid w:val="00951B6A"/>
    <w:rsid w:val="00956320"/>
    <w:rsid w:val="009572E7"/>
    <w:rsid w:val="009603E7"/>
    <w:rsid w:val="00960D23"/>
    <w:rsid w:val="00965A9B"/>
    <w:rsid w:val="0096660C"/>
    <w:rsid w:val="00974283"/>
    <w:rsid w:val="00976FDF"/>
    <w:rsid w:val="00987CA7"/>
    <w:rsid w:val="00987F6D"/>
    <w:rsid w:val="00996205"/>
    <w:rsid w:val="009A7F91"/>
    <w:rsid w:val="009B0F66"/>
    <w:rsid w:val="009B4CE4"/>
    <w:rsid w:val="009B7793"/>
    <w:rsid w:val="009C3C22"/>
    <w:rsid w:val="009C7E4E"/>
    <w:rsid w:val="009D43F2"/>
    <w:rsid w:val="009D755A"/>
    <w:rsid w:val="009E1B7F"/>
    <w:rsid w:val="009E3AA5"/>
    <w:rsid w:val="009F3387"/>
    <w:rsid w:val="009F66EB"/>
    <w:rsid w:val="00A06A9E"/>
    <w:rsid w:val="00A10B15"/>
    <w:rsid w:val="00A15FF6"/>
    <w:rsid w:val="00A248DA"/>
    <w:rsid w:val="00A3107B"/>
    <w:rsid w:val="00A400BD"/>
    <w:rsid w:val="00A409E5"/>
    <w:rsid w:val="00A41B44"/>
    <w:rsid w:val="00A42122"/>
    <w:rsid w:val="00A42F7F"/>
    <w:rsid w:val="00A43D1A"/>
    <w:rsid w:val="00A512E9"/>
    <w:rsid w:val="00A5130F"/>
    <w:rsid w:val="00A56BBC"/>
    <w:rsid w:val="00A57756"/>
    <w:rsid w:val="00A57ED4"/>
    <w:rsid w:val="00A760CF"/>
    <w:rsid w:val="00A8066D"/>
    <w:rsid w:val="00A83367"/>
    <w:rsid w:val="00A84B23"/>
    <w:rsid w:val="00A86193"/>
    <w:rsid w:val="00A86F2C"/>
    <w:rsid w:val="00A87C99"/>
    <w:rsid w:val="00A921E3"/>
    <w:rsid w:val="00A93EC3"/>
    <w:rsid w:val="00AA14FF"/>
    <w:rsid w:val="00AA223D"/>
    <w:rsid w:val="00AB3B83"/>
    <w:rsid w:val="00AB7215"/>
    <w:rsid w:val="00AC78CC"/>
    <w:rsid w:val="00AD1EF2"/>
    <w:rsid w:val="00AD372C"/>
    <w:rsid w:val="00AD3858"/>
    <w:rsid w:val="00AD6222"/>
    <w:rsid w:val="00AD6BD4"/>
    <w:rsid w:val="00AE444E"/>
    <w:rsid w:val="00AF41D6"/>
    <w:rsid w:val="00AF4467"/>
    <w:rsid w:val="00B0149D"/>
    <w:rsid w:val="00B02318"/>
    <w:rsid w:val="00B14CA3"/>
    <w:rsid w:val="00B17665"/>
    <w:rsid w:val="00B20D59"/>
    <w:rsid w:val="00B211D2"/>
    <w:rsid w:val="00B216CA"/>
    <w:rsid w:val="00B23164"/>
    <w:rsid w:val="00B3063D"/>
    <w:rsid w:val="00B33A00"/>
    <w:rsid w:val="00B33CFF"/>
    <w:rsid w:val="00B358B0"/>
    <w:rsid w:val="00B51A66"/>
    <w:rsid w:val="00B53DDD"/>
    <w:rsid w:val="00B553C1"/>
    <w:rsid w:val="00B55523"/>
    <w:rsid w:val="00B5602C"/>
    <w:rsid w:val="00B6010A"/>
    <w:rsid w:val="00B629AF"/>
    <w:rsid w:val="00B678BD"/>
    <w:rsid w:val="00B72700"/>
    <w:rsid w:val="00B73835"/>
    <w:rsid w:val="00B85B27"/>
    <w:rsid w:val="00B9230E"/>
    <w:rsid w:val="00B92A27"/>
    <w:rsid w:val="00B9414C"/>
    <w:rsid w:val="00B946C1"/>
    <w:rsid w:val="00BA23DB"/>
    <w:rsid w:val="00BB2CA7"/>
    <w:rsid w:val="00BB542C"/>
    <w:rsid w:val="00BB5A44"/>
    <w:rsid w:val="00BD3F59"/>
    <w:rsid w:val="00BE269F"/>
    <w:rsid w:val="00BE50E5"/>
    <w:rsid w:val="00BE6512"/>
    <w:rsid w:val="00BE681A"/>
    <w:rsid w:val="00BF70D3"/>
    <w:rsid w:val="00C05CB1"/>
    <w:rsid w:val="00C06C98"/>
    <w:rsid w:val="00C1135B"/>
    <w:rsid w:val="00C13798"/>
    <w:rsid w:val="00C14D3A"/>
    <w:rsid w:val="00C157B1"/>
    <w:rsid w:val="00C20B16"/>
    <w:rsid w:val="00C21022"/>
    <w:rsid w:val="00C2215E"/>
    <w:rsid w:val="00C22623"/>
    <w:rsid w:val="00C2294F"/>
    <w:rsid w:val="00C2641E"/>
    <w:rsid w:val="00C35964"/>
    <w:rsid w:val="00C45D66"/>
    <w:rsid w:val="00C46219"/>
    <w:rsid w:val="00C54F9D"/>
    <w:rsid w:val="00C6235A"/>
    <w:rsid w:val="00C62EA7"/>
    <w:rsid w:val="00C64BF9"/>
    <w:rsid w:val="00C81C79"/>
    <w:rsid w:val="00C87193"/>
    <w:rsid w:val="00C9000E"/>
    <w:rsid w:val="00C96513"/>
    <w:rsid w:val="00CA6B2A"/>
    <w:rsid w:val="00CB667A"/>
    <w:rsid w:val="00CC514F"/>
    <w:rsid w:val="00CD6640"/>
    <w:rsid w:val="00CE1FE0"/>
    <w:rsid w:val="00CE31CF"/>
    <w:rsid w:val="00CF018E"/>
    <w:rsid w:val="00D00CC8"/>
    <w:rsid w:val="00D01BFD"/>
    <w:rsid w:val="00D04226"/>
    <w:rsid w:val="00D05A40"/>
    <w:rsid w:val="00D25180"/>
    <w:rsid w:val="00D26FEA"/>
    <w:rsid w:val="00D32DCE"/>
    <w:rsid w:val="00D35844"/>
    <w:rsid w:val="00D52C8C"/>
    <w:rsid w:val="00D52DA8"/>
    <w:rsid w:val="00D60CDD"/>
    <w:rsid w:val="00D72A3C"/>
    <w:rsid w:val="00D814EF"/>
    <w:rsid w:val="00D8321C"/>
    <w:rsid w:val="00D83A5A"/>
    <w:rsid w:val="00D84938"/>
    <w:rsid w:val="00D85619"/>
    <w:rsid w:val="00D87FA3"/>
    <w:rsid w:val="00D91BDC"/>
    <w:rsid w:val="00DA03B0"/>
    <w:rsid w:val="00DA4434"/>
    <w:rsid w:val="00DB4078"/>
    <w:rsid w:val="00DB5712"/>
    <w:rsid w:val="00DC36C6"/>
    <w:rsid w:val="00DC730E"/>
    <w:rsid w:val="00DC790F"/>
    <w:rsid w:val="00DD310A"/>
    <w:rsid w:val="00DE5FBF"/>
    <w:rsid w:val="00DE61EB"/>
    <w:rsid w:val="00DF3D33"/>
    <w:rsid w:val="00E051CF"/>
    <w:rsid w:val="00E06DFC"/>
    <w:rsid w:val="00E15341"/>
    <w:rsid w:val="00E154AE"/>
    <w:rsid w:val="00E17CEC"/>
    <w:rsid w:val="00E218C3"/>
    <w:rsid w:val="00E22BFB"/>
    <w:rsid w:val="00E277BF"/>
    <w:rsid w:val="00E30945"/>
    <w:rsid w:val="00E31D5A"/>
    <w:rsid w:val="00E376D3"/>
    <w:rsid w:val="00E37E5B"/>
    <w:rsid w:val="00E4009B"/>
    <w:rsid w:val="00E573B9"/>
    <w:rsid w:val="00E60E6C"/>
    <w:rsid w:val="00E63F74"/>
    <w:rsid w:val="00E75A4D"/>
    <w:rsid w:val="00E81040"/>
    <w:rsid w:val="00E81876"/>
    <w:rsid w:val="00E81E77"/>
    <w:rsid w:val="00E829A2"/>
    <w:rsid w:val="00E85021"/>
    <w:rsid w:val="00E8605C"/>
    <w:rsid w:val="00E875E1"/>
    <w:rsid w:val="00E95618"/>
    <w:rsid w:val="00E96891"/>
    <w:rsid w:val="00E96DA5"/>
    <w:rsid w:val="00EB1825"/>
    <w:rsid w:val="00EB2AC5"/>
    <w:rsid w:val="00EB4F59"/>
    <w:rsid w:val="00EC59DE"/>
    <w:rsid w:val="00ED26FD"/>
    <w:rsid w:val="00ED3C7D"/>
    <w:rsid w:val="00EE1678"/>
    <w:rsid w:val="00EE4564"/>
    <w:rsid w:val="00EE4BF8"/>
    <w:rsid w:val="00EF6629"/>
    <w:rsid w:val="00F019F1"/>
    <w:rsid w:val="00F200B5"/>
    <w:rsid w:val="00F2309E"/>
    <w:rsid w:val="00F24D9E"/>
    <w:rsid w:val="00F26B16"/>
    <w:rsid w:val="00F2735D"/>
    <w:rsid w:val="00F4244C"/>
    <w:rsid w:val="00F454FF"/>
    <w:rsid w:val="00F46907"/>
    <w:rsid w:val="00F54D71"/>
    <w:rsid w:val="00F56657"/>
    <w:rsid w:val="00F577A0"/>
    <w:rsid w:val="00F57C4E"/>
    <w:rsid w:val="00F649BE"/>
    <w:rsid w:val="00F65BE7"/>
    <w:rsid w:val="00F71F0D"/>
    <w:rsid w:val="00F74E21"/>
    <w:rsid w:val="00F841C9"/>
    <w:rsid w:val="00F84A5A"/>
    <w:rsid w:val="00F864A9"/>
    <w:rsid w:val="00F87D54"/>
    <w:rsid w:val="00F935D5"/>
    <w:rsid w:val="00F9475E"/>
    <w:rsid w:val="00F97043"/>
    <w:rsid w:val="00F97F49"/>
    <w:rsid w:val="00FA508C"/>
    <w:rsid w:val="00FB053D"/>
    <w:rsid w:val="00FB431F"/>
    <w:rsid w:val="00FB65D5"/>
    <w:rsid w:val="00FC6718"/>
    <w:rsid w:val="00FD0195"/>
    <w:rsid w:val="00FD5D03"/>
    <w:rsid w:val="00FE156A"/>
    <w:rsid w:val="00FE6C33"/>
    <w:rsid w:val="00FF2145"/>
    <w:rsid w:val="00FF5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D7B75-E23D-417C-B465-6C8D1D2A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41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1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17E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00368"/>
    <w:pPr>
      <w:ind w:left="720"/>
      <w:contextualSpacing/>
    </w:pPr>
  </w:style>
  <w:style w:type="paragraph" w:styleId="Header">
    <w:name w:val="header"/>
    <w:basedOn w:val="Normal"/>
    <w:link w:val="HeaderChar"/>
    <w:uiPriority w:val="99"/>
    <w:unhideWhenUsed/>
    <w:rsid w:val="001D1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162"/>
  </w:style>
  <w:style w:type="paragraph" w:styleId="Footer">
    <w:name w:val="footer"/>
    <w:basedOn w:val="Normal"/>
    <w:link w:val="FooterChar"/>
    <w:uiPriority w:val="99"/>
    <w:unhideWhenUsed/>
    <w:rsid w:val="001D1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162"/>
  </w:style>
  <w:style w:type="paragraph" w:styleId="BalloonText">
    <w:name w:val="Balloon Text"/>
    <w:basedOn w:val="Normal"/>
    <w:link w:val="BalloonTextChar"/>
    <w:uiPriority w:val="99"/>
    <w:semiHidden/>
    <w:unhideWhenUsed/>
    <w:rsid w:val="00ED26FD"/>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ED26FD"/>
    <w:rPr>
      <w:rFonts w:ascii="Arial" w:hAnsi="Arial" w:cs="Arial"/>
      <w:sz w:val="18"/>
      <w:szCs w:val="18"/>
    </w:rPr>
  </w:style>
  <w:style w:type="table" w:styleId="TableGrid">
    <w:name w:val="Table Grid"/>
    <w:basedOn w:val="TableNormal"/>
    <w:uiPriority w:val="39"/>
    <w:rsid w:val="00FB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B4F59"/>
    <w:pPr>
      <w:numPr>
        <w:numId w:val="7"/>
      </w:numPr>
      <w:contextualSpacing/>
    </w:pPr>
  </w:style>
  <w:style w:type="paragraph" w:styleId="NormalWeb">
    <w:name w:val="Normal (Web)"/>
    <w:basedOn w:val="Normal"/>
    <w:uiPriority w:val="99"/>
    <w:unhideWhenUsed/>
    <w:rsid w:val="0081228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PlainText">
    <w:name w:val="Plain Text"/>
    <w:basedOn w:val="Normal"/>
    <w:link w:val="PlainTextChar"/>
    <w:uiPriority w:val="99"/>
    <w:semiHidden/>
    <w:unhideWhenUsed/>
    <w:rsid w:val="0094026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94026C"/>
    <w:rPr>
      <w:rFonts w:ascii="Calibri" w:hAnsi="Calibri" w:cs="Consolas"/>
      <w:szCs w:val="21"/>
    </w:rPr>
  </w:style>
  <w:style w:type="character" w:styleId="CommentReference">
    <w:name w:val="annotation reference"/>
    <w:basedOn w:val="DefaultParagraphFont"/>
    <w:uiPriority w:val="99"/>
    <w:semiHidden/>
    <w:unhideWhenUsed/>
    <w:rsid w:val="0094026C"/>
    <w:rPr>
      <w:sz w:val="16"/>
      <w:szCs w:val="16"/>
    </w:rPr>
  </w:style>
  <w:style w:type="paragraph" w:styleId="CommentText">
    <w:name w:val="annotation text"/>
    <w:basedOn w:val="Normal"/>
    <w:link w:val="CommentTextChar"/>
    <w:uiPriority w:val="99"/>
    <w:semiHidden/>
    <w:unhideWhenUsed/>
    <w:rsid w:val="0094026C"/>
    <w:pPr>
      <w:spacing w:line="240" w:lineRule="auto"/>
    </w:pPr>
    <w:rPr>
      <w:sz w:val="20"/>
      <w:szCs w:val="20"/>
    </w:rPr>
  </w:style>
  <w:style w:type="character" w:customStyle="1" w:styleId="CommentTextChar">
    <w:name w:val="Comment Text Char"/>
    <w:basedOn w:val="DefaultParagraphFont"/>
    <w:link w:val="CommentText"/>
    <w:uiPriority w:val="99"/>
    <w:semiHidden/>
    <w:rsid w:val="0094026C"/>
    <w:rPr>
      <w:sz w:val="20"/>
      <w:szCs w:val="20"/>
    </w:rPr>
  </w:style>
  <w:style w:type="paragraph" w:styleId="CommentSubject">
    <w:name w:val="annotation subject"/>
    <w:basedOn w:val="CommentText"/>
    <w:next w:val="CommentText"/>
    <w:link w:val="CommentSubjectChar"/>
    <w:uiPriority w:val="99"/>
    <w:semiHidden/>
    <w:unhideWhenUsed/>
    <w:rsid w:val="0094026C"/>
    <w:rPr>
      <w:b/>
      <w:bCs/>
    </w:rPr>
  </w:style>
  <w:style w:type="character" w:customStyle="1" w:styleId="CommentSubjectChar">
    <w:name w:val="Comment Subject Char"/>
    <w:basedOn w:val="CommentTextChar"/>
    <w:link w:val="CommentSubject"/>
    <w:uiPriority w:val="99"/>
    <w:semiHidden/>
    <w:rsid w:val="0094026C"/>
    <w:rPr>
      <w:b/>
      <w:bCs/>
      <w:sz w:val="20"/>
      <w:szCs w:val="20"/>
    </w:rPr>
  </w:style>
  <w:style w:type="character" w:styleId="Hyperlink">
    <w:name w:val="Hyperlink"/>
    <w:basedOn w:val="DefaultParagraphFont"/>
    <w:uiPriority w:val="99"/>
    <w:unhideWhenUsed/>
    <w:rsid w:val="0094026C"/>
    <w:rPr>
      <w:color w:val="0563C1" w:themeColor="hyperlink"/>
      <w:u w:val="single"/>
    </w:rPr>
  </w:style>
  <w:style w:type="character" w:customStyle="1" w:styleId="Heading1Char">
    <w:name w:val="Heading 1 Char"/>
    <w:basedOn w:val="DefaultParagraphFont"/>
    <w:link w:val="Heading1"/>
    <w:uiPriority w:val="9"/>
    <w:rsid w:val="001841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41DC"/>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uiPriority w:val="99"/>
    <w:rsid w:val="00735D0A"/>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B66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8249">
      <w:bodyDiv w:val="1"/>
      <w:marLeft w:val="0"/>
      <w:marRight w:val="0"/>
      <w:marTop w:val="0"/>
      <w:marBottom w:val="0"/>
      <w:divBdr>
        <w:top w:val="none" w:sz="0" w:space="0" w:color="auto"/>
        <w:left w:val="none" w:sz="0" w:space="0" w:color="auto"/>
        <w:bottom w:val="none" w:sz="0" w:space="0" w:color="auto"/>
        <w:right w:val="none" w:sz="0" w:space="0" w:color="auto"/>
      </w:divBdr>
    </w:div>
    <w:div w:id="258801671">
      <w:bodyDiv w:val="1"/>
      <w:marLeft w:val="0"/>
      <w:marRight w:val="0"/>
      <w:marTop w:val="0"/>
      <w:marBottom w:val="0"/>
      <w:divBdr>
        <w:top w:val="none" w:sz="0" w:space="0" w:color="auto"/>
        <w:left w:val="none" w:sz="0" w:space="0" w:color="auto"/>
        <w:bottom w:val="none" w:sz="0" w:space="0" w:color="auto"/>
        <w:right w:val="none" w:sz="0" w:space="0" w:color="auto"/>
      </w:divBdr>
    </w:div>
    <w:div w:id="316568301">
      <w:bodyDiv w:val="1"/>
      <w:marLeft w:val="0"/>
      <w:marRight w:val="0"/>
      <w:marTop w:val="0"/>
      <w:marBottom w:val="0"/>
      <w:divBdr>
        <w:top w:val="none" w:sz="0" w:space="0" w:color="auto"/>
        <w:left w:val="none" w:sz="0" w:space="0" w:color="auto"/>
        <w:bottom w:val="none" w:sz="0" w:space="0" w:color="auto"/>
        <w:right w:val="none" w:sz="0" w:space="0" w:color="auto"/>
      </w:divBdr>
    </w:div>
    <w:div w:id="348682087">
      <w:bodyDiv w:val="1"/>
      <w:marLeft w:val="0"/>
      <w:marRight w:val="0"/>
      <w:marTop w:val="0"/>
      <w:marBottom w:val="0"/>
      <w:divBdr>
        <w:top w:val="none" w:sz="0" w:space="0" w:color="auto"/>
        <w:left w:val="none" w:sz="0" w:space="0" w:color="auto"/>
        <w:bottom w:val="none" w:sz="0" w:space="0" w:color="auto"/>
        <w:right w:val="none" w:sz="0" w:space="0" w:color="auto"/>
      </w:divBdr>
    </w:div>
    <w:div w:id="797525953">
      <w:bodyDiv w:val="1"/>
      <w:marLeft w:val="0"/>
      <w:marRight w:val="0"/>
      <w:marTop w:val="0"/>
      <w:marBottom w:val="0"/>
      <w:divBdr>
        <w:top w:val="none" w:sz="0" w:space="0" w:color="auto"/>
        <w:left w:val="none" w:sz="0" w:space="0" w:color="auto"/>
        <w:bottom w:val="none" w:sz="0" w:space="0" w:color="auto"/>
        <w:right w:val="none" w:sz="0" w:space="0" w:color="auto"/>
      </w:divBdr>
      <w:divsChild>
        <w:div w:id="1827044388">
          <w:marLeft w:val="547"/>
          <w:marRight w:val="0"/>
          <w:marTop w:val="0"/>
          <w:marBottom w:val="0"/>
          <w:divBdr>
            <w:top w:val="none" w:sz="0" w:space="0" w:color="auto"/>
            <w:left w:val="none" w:sz="0" w:space="0" w:color="auto"/>
            <w:bottom w:val="none" w:sz="0" w:space="0" w:color="auto"/>
            <w:right w:val="none" w:sz="0" w:space="0" w:color="auto"/>
          </w:divBdr>
        </w:div>
      </w:divsChild>
    </w:div>
    <w:div w:id="822089702">
      <w:bodyDiv w:val="1"/>
      <w:marLeft w:val="0"/>
      <w:marRight w:val="0"/>
      <w:marTop w:val="0"/>
      <w:marBottom w:val="0"/>
      <w:divBdr>
        <w:top w:val="none" w:sz="0" w:space="0" w:color="auto"/>
        <w:left w:val="none" w:sz="0" w:space="0" w:color="auto"/>
        <w:bottom w:val="none" w:sz="0" w:space="0" w:color="auto"/>
        <w:right w:val="none" w:sz="0" w:space="0" w:color="auto"/>
      </w:divBdr>
    </w:div>
    <w:div w:id="835418350">
      <w:bodyDiv w:val="1"/>
      <w:marLeft w:val="0"/>
      <w:marRight w:val="0"/>
      <w:marTop w:val="0"/>
      <w:marBottom w:val="0"/>
      <w:divBdr>
        <w:top w:val="none" w:sz="0" w:space="0" w:color="auto"/>
        <w:left w:val="none" w:sz="0" w:space="0" w:color="auto"/>
        <w:bottom w:val="none" w:sz="0" w:space="0" w:color="auto"/>
        <w:right w:val="none" w:sz="0" w:space="0" w:color="auto"/>
      </w:divBdr>
    </w:div>
    <w:div w:id="863402810">
      <w:bodyDiv w:val="1"/>
      <w:marLeft w:val="0"/>
      <w:marRight w:val="0"/>
      <w:marTop w:val="0"/>
      <w:marBottom w:val="0"/>
      <w:divBdr>
        <w:top w:val="none" w:sz="0" w:space="0" w:color="auto"/>
        <w:left w:val="none" w:sz="0" w:space="0" w:color="auto"/>
        <w:bottom w:val="none" w:sz="0" w:space="0" w:color="auto"/>
        <w:right w:val="none" w:sz="0" w:space="0" w:color="auto"/>
      </w:divBdr>
    </w:div>
    <w:div w:id="921260260">
      <w:bodyDiv w:val="1"/>
      <w:marLeft w:val="0"/>
      <w:marRight w:val="0"/>
      <w:marTop w:val="0"/>
      <w:marBottom w:val="0"/>
      <w:divBdr>
        <w:top w:val="none" w:sz="0" w:space="0" w:color="auto"/>
        <w:left w:val="none" w:sz="0" w:space="0" w:color="auto"/>
        <w:bottom w:val="none" w:sz="0" w:space="0" w:color="auto"/>
        <w:right w:val="none" w:sz="0" w:space="0" w:color="auto"/>
      </w:divBdr>
    </w:div>
    <w:div w:id="935333131">
      <w:bodyDiv w:val="1"/>
      <w:marLeft w:val="0"/>
      <w:marRight w:val="0"/>
      <w:marTop w:val="0"/>
      <w:marBottom w:val="0"/>
      <w:divBdr>
        <w:top w:val="none" w:sz="0" w:space="0" w:color="auto"/>
        <w:left w:val="none" w:sz="0" w:space="0" w:color="auto"/>
        <w:bottom w:val="none" w:sz="0" w:space="0" w:color="auto"/>
        <w:right w:val="none" w:sz="0" w:space="0" w:color="auto"/>
      </w:divBdr>
    </w:div>
    <w:div w:id="959844767">
      <w:bodyDiv w:val="1"/>
      <w:marLeft w:val="0"/>
      <w:marRight w:val="0"/>
      <w:marTop w:val="0"/>
      <w:marBottom w:val="0"/>
      <w:divBdr>
        <w:top w:val="none" w:sz="0" w:space="0" w:color="auto"/>
        <w:left w:val="none" w:sz="0" w:space="0" w:color="auto"/>
        <w:bottom w:val="none" w:sz="0" w:space="0" w:color="auto"/>
        <w:right w:val="none" w:sz="0" w:space="0" w:color="auto"/>
      </w:divBdr>
    </w:div>
    <w:div w:id="1041175485">
      <w:bodyDiv w:val="1"/>
      <w:marLeft w:val="0"/>
      <w:marRight w:val="0"/>
      <w:marTop w:val="0"/>
      <w:marBottom w:val="0"/>
      <w:divBdr>
        <w:top w:val="none" w:sz="0" w:space="0" w:color="auto"/>
        <w:left w:val="none" w:sz="0" w:space="0" w:color="auto"/>
        <w:bottom w:val="none" w:sz="0" w:space="0" w:color="auto"/>
        <w:right w:val="none" w:sz="0" w:space="0" w:color="auto"/>
      </w:divBdr>
    </w:div>
    <w:div w:id="1067191591">
      <w:bodyDiv w:val="1"/>
      <w:marLeft w:val="0"/>
      <w:marRight w:val="0"/>
      <w:marTop w:val="0"/>
      <w:marBottom w:val="0"/>
      <w:divBdr>
        <w:top w:val="none" w:sz="0" w:space="0" w:color="auto"/>
        <w:left w:val="none" w:sz="0" w:space="0" w:color="auto"/>
        <w:bottom w:val="none" w:sz="0" w:space="0" w:color="auto"/>
        <w:right w:val="none" w:sz="0" w:space="0" w:color="auto"/>
      </w:divBdr>
    </w:div>
    <w:div w:id="1105003440">
      <w:bodyDiv w:val="1"/>
      <w:marLeft w:val="0"/>
      <w:marRight w:val="0"/>
      <w:marTop w:val="0"/>
      <w:marBottom w:val="0"/>
      <w:divBdr>
        <w:top w:val="none" w:sz="0" w:space="0" w:color="auto"/>
        <w:left w:val="none" w:sz="0" w:space="0" w:color="auto"/>
        <w:bottom w:val="none" w:sz="0" w:space="0" w:color="auto"/>
        <w:right w:val="none" w:sz="0" w:space="0" w:color="auto"/>
      </w:divBdr>
    </w:div>
    <w:div w:id="1146511927">
      <w:bodyDiv w:val="1"/>
      <w:marLeft w:val="0"/>
      <w:marRight w:val="0"/>
      <w:marTop w:val="0"/>
      <w:marBottom w:val="0"/>
      <w:divBdr>
        <w:top w:val="none" w:sz="0" w:space="0" w:color="auto"/>
        <w:left w:val="none" w:sz="0" w:space="0" w:color="auto"/>
        <w:bottom w:val="none" w:sz="0" w:space="0" w:color="auto"/>
        <w:right w:val="none" w:sz="0" w:space="0" w:color="auto"/>
      </w:divBdr>
    </w:div>
    <w:div w:id="1252859249">
      <w:bodyDiv w:val="1"/>
      <w:marLeft w:val="0"/>
      <w:marRight w:val="0"/>
      <w:marTop w:val="0"/>
      <w:marBottom w:val="0"/>
      <w:divBdr>
        <w:top w:val="none" w:sz="0" w:space="0" w:color="auto"/>
        <w:left w:val="none" w:sz="0" w:space="0" w:color="auto"/>
        <w:bottom w:val="none" w:sz="0" w:space="0" w:color="auto"/>
        <w:right w:val="none" w:sz="0" w:space="0" w:color="auto"/>
      </w:divBdr>
    </w:div>
    <w:div w:id="1267424418">
      <w:bodyDiv w:val="1"/>
      <w:marLeft w:val="0"/>
      <w:marRight w:val="0"/>
      <w:marTop w:val="0"/>
      <w:marBottom w:val="0"/>
      <w:divBdr>
        <w:top w:val="none" w:sz="0" w:space="0" w:color="auto"/>
        <w:left w:val="none" w:sz="0" w:space="0" w:color="auto"/>
        <w:bottom w:val="none" w:sz="0" w:space="0" w:color="auto"/>
        <w:right w:val="none" w:sz="0" w:space="0" w:color="auto"/>
      </w:divBdr>
    </w:div>
    <w:div w:id="1278835374">
      <w:bodyDiv w:val="1"/>
      <w:marLeft w:val="0"/>
      <w:marRight w:val="0"/>
      <w:marTop w:val="0"/>
      <w:marBottom w:val="0"/>
      <w:divBdr>
        <w:top w:val="none" w:sz="0" w:space="0" w:color="auto"/>
        <w:left w:val="none" w:sz="0" w:space="0" w:color="auto"/>
        <w:bottom w:val="none" w:sz="0" w:space="0" w:color="auto"/>
        <w:right w:val="none" w:sz="0" w:space="0" w:color="auto"/>
      </w:divBdr>
    </w:div>
    <w:div w:id="1304847999">
      <w:bodyDiv w:val="1"/>
      <w:marLeft w:val="0"/>
      <w:marRight w:val="0"/>
      <w:marTop w:val="0"/>
      <w:marBottom w:val="0"/>
      <w:divBdr>
        <w:top w:val="none" w:sz="0" w:space="0" w:color="auto"/>
        <w:left w:val="none" w:sz="0" w:space="0" w:color="auto"/>
        <w:bottom w:val="none" w:sz="0" w:space="0" w:color="auto"/>
        <w:right w:val="none" w:sz="0" w:space="0" w:color="auto"/>
      </w:divBdr>
      <w:divsChild>
        <w:div w:id="586428598">
          <w:marLeft w:val="547"/>
          <w:marRight w:val="0"/>
          <w:marTop w:val="0"/>
          <w:marBottom w:val="0"/>
          <w:divBdr>
            <w:top w:val="none" w:sz="0" w:space="0" w:color="auto"/>
            <w:left w:val="none" w:sz="0" w:space="0" w:color="auto"/>
            <w:bottom w:val="none" w:sz="0" w:space="0" w:color="auto"/>
            <w:right w:val="none" w:sz="0" w:space="0" w:color="auto"/>
          </w:divBdr>
        </w:div>
      </w:divsChild>
    </w:div>
    <w:div w:id="1308165523">
      <w:bodyDiv w:val="1"/>
      <w:marLeft w:val="0"/>
      <w:marRight w:val="0"/>
      <w:marTop w:val="0"/>
      <w:marBottom w:val="0"/>
      <w:divBdr>
        <w:top w:val="none" w:sz="0" w:space="0" w:color="auto"/>
        <w:left w:val="none" w:sz="0" w:space="0" w:color="auto"/>
        <w:bottom w:val="none" w:sz="0" w:space="0" w:color="auto"/>
        <w:right w:val="none" w:sz="0" w:space="0" w:color="auto"/>
      </w:divBdr>
    </w:div>
    <w:div w:id="1411077846">
      <w:bodyDiv w:val="1"/>
      <w:marLeft w:val="0"/>
      <w:marRight w:val="0"/>
      <w:marTop w:val="0"/>
      <w:marBottom w:val="0"/>
      <w:divBdr>
        <w:top w:val="none" w:sz="0" w:space="0" w:color="auto"/>
        <w:left w:val="none" w:sz="0" w:space="0" w:color="auto"/>
        <w:bottom w:val="none" w:sz="0" w:space="0" w:color="auto"/>
        <w:right w:val="none" w:sz="0" w:space="0" w:color="auto"/>
      </w:divBdr>
    </w:div>
    <w:div w:id="1521355208">
      <w:bodyDiv w:val="1"/>
      <w:marLeft w:val="0"/>
      <w:marRight w:val="0"/>
      <w:marTop w:val="0"/>
      <w:marBottom w:val="0"/>
      <w:divBdr>
        <w:top w:val="none" w:sz="0" w:space="0" w:color="auto"/>
        <w:left w:val="none" w:sz="0" w:space="0" w:color="auto"/>
        <w:bottom w:val="none" w:sz="0" w:space="0" w:color="auto"/>
        <w:right w:val="none" w:sz="0" w:space="0" w:color="auto"/>
      </w:divBdr>
    </w:div>
    <w:div w:id="1542086746">
      <w:bodyDiv w:val="1"/>
      <w:marLeft w:val="0"/>
      <w:marRight w:val="0"/>
      <w:marTop w:val="0"/>
      <w:marBottom w:val="0"/>
      <w:divBdr>
        <w:top w:val="none" w:sz="0" w:space="0" w:color="auto"/>
        <w:left w:val="none" w:sz="0" w:space="0" w:color="auto"/>
        <w:bottom w:val="none" w:sz="0" w:space="0" w:color="auto"/>
        <w:right w:val="none" w:sz="0" w:space="0" w:color="auto"/>
      </w:divBdr>
    </w:div>
    <w:div w:id="1562255234">
      <w:bodyDiv w:val="1"/>
      <w:marLeft w:val="0"/>
      <w:marRight w:val="0"/>
      <w:marTop w:val="0"/>
      <w:marBottom w:val="0"/>
      <w:divBdr>
        <w:top w:val="none" w:sz="0" w:space="0" w:color="auto"/>
        <w:left w:val="none" w:sz="0" w:space="0" w:color="auto"/>
        <w:bottom w:val="none" w:sz="0" w:space="0" w:color="auto"/>
        <w:right w:val="none" w:sz="0" w:space="0" w:color="auto"/>
      </w:divBdr>
    </w:div>
    <w:div w:id="1567915985">
      <w:bodyDiv w:val="1"/>
      <w:marLeft w:val="0"/>
      <w:marRight w:val="0"/>
      <w:marTop w:val="0"/>
      <w:marBottom w:val="0"/>
      <w:divBdr>
        <w:top w:val="none" w:sz="0" w:space="0" w:color="auto"/>
        <w:left w:val="none" w:sz="0" w:space="0" w:color="auto"/>
        <w:bottom w:val="none" w:sz="0" w:space="0" w:color="auto"/>
        <w:right w:val="none" w:sz="0" w:space="0" w:color="auto"/>
      </w:divBdr>
    </w:div>
    <w:div w:id="1574587843">
      <w:bodyDiv w:val="1"/>
      <w:marLeft w:val="0"/>
      <w:marRight w:val="0"/>
      <w:marTop w:val="0"/>
      <w:marBottom w:val="0"/>
      <w:divBdr>
        <w:top w:val="none" w:sz="0" w:space="0" w:color="auto"/>
        <w:left w:val="none" w:sz="0" w:space="0" w:color="auto"/>
        <w:bottom w:val="none" w:sz="0" w:space="0" w:color="auto"/>
        <w:right w:val="none" w:sz="0" w:space="0" w:color="auto"/>
      </w:divBdr>
    </w:div>
    <w:div w:id="1581061802">
      <w:bodyDiv w:val="1"/>
      <w:marLeft w:val="0"/>
      <w:marRight w:val="0"/>
      <w:marTop w:val="0"/>
      <w:marBottom w:val="0"/>
      <w:divBdr>
        <w:top w:val="none" w:sz="0" w:space="0" w:color="auto"/>
        <w:left w:val="none" w:sz="0" w:space="0" w:color="auto"/>
        <w:bottom w:val="none" w:sz="0" w:space="0" w:color="auto"/>
        <w:right w:val="none" w:sz="0" w:space="0" w:color="auto"/>
      </w:divBdr>
    </w:div>
    <w:div w:id="1598706814">
      <w:bodyDiv w:val="1"/>
      <w:marLeft w:val="0"/>
      <w:marRight w:val="0"/>
      <w:marTop w:val="0"/>
      <w:marBottom w:val="0"/>
      <w:divBdr>
        <w:top w:val="none" w:sz="0" w:space="0" w:color="auto"/>
        <w:left w:val="none" w:sz="0" w:space="0" w:color="auto"/>
        <w:bottom w:val="none" w:sz="0" w:space="0" w:color="auto"/>
        <w:right w:val="none" w:sz="0" w:space="0" w:color="auto"/>
      </w:divBdr>
    </w:div>
    <w:div w:id="1599098152">
      <w:bodyDiv w:val="1"/>
      <w:marLeft w:val="0"/>
      <w:marRight w:val="0"/>
      <w:marTop w:val="0"/>
      <w:marBottom w:val="0"/>
      <w:divBdr>
        <w:top w:val="none" w:sz="0" w:space="0" w:color="auto"/>
        <w:left w:val="none" w:sz="0" w:space="0" w:color="auto"/>
        <w:bottom w:val="none" w:sz="0" w:space="0" w:color="auto"/>
        <w:right w:val="none" w:sz="0" w:space="0" w:color="auto"/>
      </w:divBdr>
    </w:div>
    <w:div w:id="1600024685">
      <w:bodyDiv w:val="1"/>
      <w:marLeft w:val="0"/>
      <w:marRight w:val="0"/>
      <w:marTop w:val="0"/>
      <w:marBottom w:val="0"/>
      <w:divBdr>
        <w:top w:val="none" w:sz="0" w:space="0" w:color="auto"/>
        <w:left w:val="none" w:sz="0" w:space="0" w:color="auto"/>
        <w:bottom w:val="none" w:sz="0" w:space="0" w:color="auto"/>
        <w:right w:val="none" w:sz="0" w:space="0" w:color="auto"/>
      </w:divBdr>
    </w:div>
    <w:div w:id="1638411462">
      <w:bodyDiv w:val="1"/>
      <w:marLeft w:val="0"/>
      <w:marRight w:val="0"/>
      <w:marTop w:val="0"/>
      <w:marBottom w:val="0"/>
      <w:divBdr>
        <w:top w:val="none" w:sz="0" w:space="0" w:color="auto"/>
        <w:left w:val="none" w:sz="0" w:space="0" w:color="auto"/>
        <w:bottom w:val="none" w:sz="0" w:space="0" w:color="auto"/>
        <w:right w:val="none" w:sz="0" w:space="0" w:color="auto"/>
      </w:divBdr>
    </w:div>
    <w:div w:id="1668096402">
      <w:bodyDiv w:val="1"/>
      <w:marLeft w:val="0"/>
      <w:marRight w:val="0"/>
      <w:marTop w:val="0"/>
      <w:marBottom w:val="0"/>
      <w:divBdr>
        <w:top w:val="none" w:sz="0" w:space="0" w:color="auto"/>
        <w:left w:val="none" w:sz="0" w:space="0" w:color="auto"/>
        <w:bottom w:val="none" w:sz="0" w:space="0" w:color="auto"/>
        <w:right w:val="none" w:sz="0" w:space="0" w:color="auto"/>
      </w:divBdr>
    </w:div>
    <w:div w:id="1770000160">
      <w:bodyDiv w:val="1"/>
      <w:marLeft w:val="0"/>
      <w:marRight w:val="0"/>
      <w:marTop w:val="0"/>
      <w:marBottom w:val="0"/>
      <w:divBdr>
        <w:top w:val="none" w:sz="0" w:space="0" w:color="auto"/>
        <w:left w:val="none" w:sz="0" w:space="0" w:color="auto"/>
        <w:bottom w:val="none" w:sz="0" w:space="0" w:color="auto"/>
        <w:right w:val="none" w:sz="0" w:space="0" w:color="auto"/>
      </w:divBdr>
    </w:div>
    <w:div w:id="1858957668">
      <w:bodyDiv w:val="1"/>
      <w:marLeft w:val="0"/>
      <w:marRight w:val="0"/>
      <w:marTop w:val="0"/>
      <w:marBottom w:val="0"/>
      <w:divBdr>
        <w:top w:val="none" w:sz="0" w:space="0" w:color="auto"/>
        <w:left w:val="none" w:sz="0" w:space="0" w:color="auto"/>
        <w:bottom w:val="none" w:sz="0" w:space="0" w:color="auto"/>
        <w:right w:val="none" w:sz="0" w:space="0" w:color="auto"/>
      </w:divBdr>
    </w:div>
    <w:div w:id="1918512999">
      <w:bodyDiv w:val="1"/>
      <w:marLeft w:val="0"/>
      <w:marRight w:val="0"/>
      <w:marTop w:val="0"/>
      <w:marBottom w:val="0"/>
      <w:divBdr>
        <w:top w:val="none" w:sz="0" w:space="0" w:color="auto"/>
        <w:left w:val="none" w:sz="0" w:space="0" w:color="auto"/>
        <w:bottom w:val="none" w:sz="0" w:space="0" w:color="auto"/>
        <w:right w:val="none" w:sz="0" w:space="0" w:color="auto"/>
      </w:divBdr>
    </w:div>
    <w:div w:id="2023581363">
      <w:bodyDiv w:val="1"/>
      <w:marLeft w:val="0"/>
      <w:marRight w:val="0"/>
      <w:marTop w:val="0"/>
      <w:marBottom w:val="0"/>
      <w:divBdr>
        <w:top w:val="none" w:sz="0" w:space="0" w:color="auto"/>
        <w:left w:val="none" w:sz="0" w:space="0" w:color="auto"/>
        <w:bottom w:val="none" w:sz="0" w:space="0" w:color="auto"/>
        <w:right w:val="none" w:sz="0" w:space="0" w:color="auto"/>
      </w:divBdr>
    </w:div>
    <w:div w:id="21208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rtsmouthwater.co.uk/news/publications/company-monitoring-plans/"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smouthwater.co.uk/news/publications/company-monitoring-plans/"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tif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5A7D13-BF2E-42C3-B335-BC4A5356BAFE}" type="doc">
      <dgm:prSet loTypeId="urn:microsoft.com/office/officeart/2005/8/layout/pyramid1" loCatId="pyramid" qsTypeId="urn:microsoft.com/office/officeart/2005/8/quickstyle/simple1" qsCatId="simple" csTypeId="urn:microsoft.com/office/officeart/2005/8/colors/accent1_2" csCatId="accent1" phldr="1"/>
      <dgm:spPr/>
    </dgm:pt>
    <dgm:pt modelId="{16EB5903-E9AC-42E6-949F-1F09ECBFD281}">
      <dgm:prSet phldrT="[Text]" custT="1"/>
      <dgm:spPr/>
      <dgm:t>
        <a:bodyPr/>
        <a:lstStyle/>
        <a:p>
          <a:r>
            <a:rPr lang="en-GB" sz="1100" dirty="0">
              <a:solidFill>
                <a:schemeClr val="bg1"/>
              </a:solidFill>
            </a:rPr>
            <a:t>Finance and Regulation Departments</a:t>
          </a:r>
        </a:p>
      </dgm:t>
    </dgm:pt>
    <dgm:pt modelId="{AEDB7388-43D3-4B11-AF80-3D2B84CABD13}" type="parTrans" cxnId="{C1C18C9A-225D-4323-BF0E-91EF23E83548}">
      <dgm:prSet/>
      <dgm:spPr/>
      <dgm:t>
        <a:bodyPr/>
        <a:lstStyle/>
        <a:p>
          <a:endParaRPr lang="en-GB" sz="1100">
            <a:solidFill>
              <a:schemeClr val="bg1"/>
            </a:solidFill>
          </a:endParaRPr>
        </a:p>
      </dgm:t>
    </dgm:pt>
    <dgm:pt modelId="{E78D16D2-E8EF-416C-9D37-4E887E78427A}" type="sibTrans" cxnId="{C1C18C9A-225D-4323-BF0E-91EF23E83548}">
      <dgm:prSet/>
      <dgm:spPr/>
      <dgm:t>
        <a:bodyPr/>
        <a:lstStyle/>
        <a:p>
          <a:endParaRPr lang="en-GB" sz="1100">
            <a:solidFill>
              <a:schemeClr val="bg1"/>
            </a:solidFill>
          </a:endParaRPr>
        </a:p>
      </dgm:t>
    </dgm:pt>
    <dgm:pt modelId="{DD4B29EC-A5E3-4558-9349-48E408AF0DD9}">
      <dgm:prSet phldrT="[Text]" custT="1"/>
      <dgm:spPr/>
      <dgm:t>
        <a:bodyPr/>
        <a:lstStyle/>
        <a:p>
          <a:r>
            <a:rPr lang="en-GB" sz="1100" dirty="0">
              <a:solidFill>
                <a:schemeClr val="bg1"/>
              </a:solidFill>
            </a:rPr>
            <a:t>Management Board</a:t>
          </a:r>
        </a:p>
      </dgm:t>
    </dgm:pt>
    <dgm:pt modelId="{D6515218-8110-4CDC-BFE1-6B919D3E42E7}" type="parTrans" cxnId="{CD942E46-15F5-4016-BF6C-C5791B28E0C6}">
      <dgm:prSet/>
      <dgm:spPr/>
      <dgm:t>
        <a:bodyPr/>
        <a:lstStyle/>
        <a:p>
          <a:endParaRPr lang="en-GB" sz="1100">
            <a:solidFill>
              <a:schemeClr val="bg1"/>
            </a:solidFill>
          </a:endParaRPr>
        </a:p>
      </dgm:t>
    </dgm:pt>
    <dgm:pt modelId="{E02878C2-6F3D-4347-8E9B-A345A450F1B2}" type="sibTrans" cxnId="{CD942E46-15F5-4016-BF6C-C5791B28E0C6}">
      <dgm:prSet/>
      <dgm:spPr/>
      <dgm:t>
        <a:bodyPr/>
        <a:lstStyle/>
        <a:p>
          <a:endParaRPr lang="en-GB" sz="1100">
            <a:solidFill>
              <a:schemeClr val="bg1"/>
            </a:solidFill>
          </a:endParaRPr>
        </a:p>
      </dgm:t>
    </dgm:pt>
    <dgm:pt modelId="{82C8439A-3117-432A-B0AF-201FBDE784C2}">
      <dgm:prSet phldrT="[Text]" custT="1"/>
      <dgm:spPr/>
      <dgm:t>
        <a:bodyPr/>
        <a:lstStyle/>
        <a:p>
          <a:r>
            <a:rPr lang="en-GB" sz="1100" dirty="0">
              <a:solidFill>
                <a:schemeClr val="bg1"/>
              </a:solidFill>
            </a:rPr>
            <a:t>Audit Committee</a:t>
          </a:r>
        </a:p>
      </dgm:t>
    </dgm:pt>
    <dgm:pt modelId="{D78D8512-B5A7-4499-97D4-59B2002E2A5A}" type="parTrans" cxnId="{FE0243BF-CDC2-4A9A-9DB5-C0B0301D7C9D}">
      <dgm:prSet/>
      <dgm:spPr/>
      <dgm:t>
        <a:bodyPr/>
        <a:lstStyle/>
        <a:p>
          <a:endParaRPr lang="en-GB" sz="1100">
            <a:solidFill>
              <a:schemeClr val="bg1"/>
            </a:solidFill>
          </a:endParaRPr>
        </a:p>
      </dgm:t>
    </dgm:pt>
    <dgm:pt modelId="{540D296C-54C8-4D4E-B82A-4B7A8C5CB7EB}" type="sibTrans" cxnId="{FE0243BF-CDC2-4A9A-9DB5-C0B0301D7C9D}">
      <dgm:prSet/>
      <dgm:spPr/>
      <dgm:t>
        <a:bodyPr/>
        <a:lstStyle/>
        <a:p>
          <a:endParaRPr lang="en-GB" sz="1100">
            <a:solidFill>
              <a:schemeClr val="bg1"/>
            </a:solidFill>
          </a:endParaRPr>
        </a:p>
      </dgm:t>
    </dgm:pt>
    <dgm:pt modelId="{D1740328-B7BF-48FF-920D-87C5739B4AA6}">
      <dgm:prSet phldrT="[Text]" custT="1"/>
      <dgm:spPr/>
      <dgm:t>
        <a:bodyPr/>
        <a:lstStyle/>
        <a:p>
          <a:endParaRPr lang="en-GB" sz="1100" dirty="0">
            <a:solidFill>
              <a:schemeClr val="bg1"/>
            </a:solidFill>
          </a:endParaRPr>
        </a:p>
        <a:p>
          <a:endParaRPr lang="en-GB" sz="1100" dirty="0">
            <a:solidFill>
              <a:schemeClr val="bg1"/>
            </a:solidFill>
          </a:endParaRPr>
        </a:p>
        <a:p>
          <a:r>
            <a:rPr lang="en-GB" sz="1100" dirty="0">
              <a:solidFill>
                <a:schemeClr val="bg1"/>
              </a:solidFill>
            </a:rPr>
            <a:t>Board</a:t>
          </a:r>
        </a:p>
      </dgm:t>
    </dgm:pt>
    <dgm:pt modelId="{07E764ED-F925-4342-AAE6-EB81039292AA}" type="sibTrans" cxnId="{E6B941B8-10DE-4C0B-A64C-C0D8D7507051}">
      <dgm:prSet/>
      <dgm:spPr/>
      <dgm:t>
        <a:bodyPr/>
        <a:lstStyle/>
        <a:p>
          <a:endParaRPr lang="en-GB" sz="1100">
            <a:solidFill>
              <a:schemeClr val="bg1"/>
            </a:solidFill>
          </a:endParaRPr>
        </a:p>
      </dgm:t>
    </dgm:pt>
    <dgm:pt modelId="{39B01513-5868-481E-ABFC-E46E139446B2}" type="parTrans" cxnId="{E6B941B8-10DE-4C0B-A64C-C0D8D7507051}">
      <dgm:prSet/>
      <dgm:spPr/>
      <dgm:t>
        <a:bodyPr/>
        <a:lstStyle/>
        <a:p>
          <a:endParaRPr lang="en-GB" sz="1100">
            <a:solidFill>
              <a:schemeClr val="bg1"/>
            </a:solidFill>
          </a:endParaRPr>
        </a:p>
      </dgm:t>
    </dgm:pt>
    <dgm:pt modelId="{BF2C5566-5399-464E-A229-FEDF111F9D04}">
      <dgm:prSet phldrT="[Text]" custT="1"/>
      <dgm:spPr/>
      <dgm:t>
        <a:bodyPr/>
        <a:lstStyle/>
        <a:p>
          <a:pPr algn="ctr"/>
          <a:endParaRPr lang="en-GB" sz="1100" dirty="0">
            <a:solidFill>
              <a:schemeClr val="bg1"/>
            </a:solidFill>
          </a:endParaRPr>
        </a:p>
        <a:p>
          <a:pPr algn="r"/>
          <a:r>
            <a:rPr lang="en-GB" sz="1100" dirty="0">
              <a:solidFill>
                <a:schemeClr val="bg1"/>
              </a:solidFill>
            </a:rPr>
            <a:t>         Data </a:t>
          </a:r>
          <a:r>
            <a:rPr lang="en-GB" sz="1100">
              <a:solidFill>
                <a:schemeClr val="bg1"/>
              </a:solidFill>
            </a:rPr>
            <a:t>Originator and Management </a:t>
          </a:r>
          <a:r>
            <a:rPr lang="en-GB" sz="1100" dirty="0">
              <a:solidFill>
                <a:schemeClr val="bg1"/>
              </a:solidFill>
            </a:rPr>
            <a:t>sign off			</a:t>
          </a:r>
        </a:p>
      </dgm:t>
    </dgm:pt>
    <dgm:pt modelId="{D5B62AB1-38EA-4891-A22A-6D093844D0C5}" type="parTrans" cxnId="{C9EDCCDD-5EB0-449F-A694-437232302292}">
      <dgm:prSet/>
      <dgm:spPr/>
      <dgm:t>
        <a:bodyPr/>
        <a:lstStyle/>
        <a:p>
          <a:endParaRPr lang="en-GB" sz="1400"/>
        </a:p>
      </dgm:t>
    </dgm:pt>
    <dgm:pt modelId="{471021E9-AD4F-421B-A6B8-4CAF7393DDD3}" type="sibTrans" cxnId="{C9EDCCDD-5EB0-449F-A694-437232302292}">
      <dgm:prSet/>
      <dgm:spPr/>
      <dgm:t>
        <a:bodyPr/>
        <a:lstStyle/>
        <a:p>
          <a:endParaRPr lang="en-GB" sz="1400"/>
        </a:p>
      </dgm:t>
    </dgm:pt>
    <dgm:pt modelId="{81FD2246-B98C-4BF6-9AF6-DBDD8C7595C0}" type="pres">
      <dgm:prSet presAssocID="{5E5A7D13-BF2E-42C3-B335-BC4A5356BAFE}" presName="Name0" presStyleCnt="0">
        <dgm:presLayoutVars>
          <dgm:dir/>
          <dgm:animLvl val="lvl"/>
          <dgm:resizeHandles val="exact"/>
        </dgm:presLayoutVars>
      </dgm:prSet>
      <dgm:spPr/>
    </dgm:pt>
    <dgm:pt modelId="{69BFE83A-5778-4A98-9646-4365377E3AA0}" type="pres">
      <dgm:prSet presAssocID="{D1740328-B7BF-48FF-920D-87C5739B4AA6}" presName="Name8" presStyleCnt="0"/>
      <dgm:spPr/>
    </dgm:pt>
    <dgm:pt modelId="{5FFD3899-1A0F-4B77-8A15-11A8CACD2A0D}" type="pres">
      <dgm:prSet presAssocID="{D1740328-B7BF-48FF-920D-87C5739B4AA6}" presName="level" presStyleLbl="node1" presStyleIdx="0" presStyleCnt="5" custScaleY="134247">
        <dgm:presLayoutVars>
          <dgm:chMax val="1"/>
          <dgm:bulletEnabled val="1"/>
        </dgm:presLayoutVars>
      </dgm:prSet>
      <dgm:spPr/>
      <dgm:t>
        <a:bodyPr/>
        <a:lstStyle/>
        <a:p>
          <a:endParaRPr lang="en-GB"/>
        </a:p>
      </dgm:t>
    </dgm:pt>
    <dgm:pt modelId="{DC797931-60CD-476A-AEED-02819E85C25A}" type="pres">
      <dgm:prSet presAssocID="{D1740328-B7BF-48FF-920D-87C5739B4AA6}" presName="levelTx" presStyleLbl="revTx" presStyleIdx="0" presStyleCnt="0">
        <dgm:presLayoutVars>
          <dgm:chMax val="1"/>
          <dgm:bulletEnabled val="1"/>
        </dgm:presLayoutVars>
      </dgm:prSet>
      <dgm:spPr/>
      <dgm:t>
        <a:bodyPr/>
        <a:lstStyle/>
        <a:p>
          <a:endParaRPr lang="en-GB"/>
        </a:p>
      </dgm:t>
    </dgm:pt>
    <dgm:pt modelId="{CF5422E3-E7E0-42F9-8DE2-1B0FBA8B0BE8}" type="pres">
      <dgm:prSet presAssocID="{82C8439A-3117-432A-B0AF-201FBDE784C2}" presName="Name8" presStyleCnt="0"/>
      <dgm:spPr/>
    </dgm:pt>
    <dgm:pt modelId="{828E8566-9D04-48B7-8DEC-00E65F261A3C}" type="pres">
      <dgm:prSet presAssocID="{82C8439A-3117-432A-B0AF-201FBDE784C2}" presName="level" presStyleLbl="node1" presStyleIdx="1" presStyleCnt="5">
        <dgm:presLayoutVars>
          <dgm:chMax val="1"/>
          <dgm:bulletEnabled val="1"/>
        </dgm:presLayoutVars>
      </dgm:prSet>
      <dgm:spPr/>
      <dgm:t>
        <a:bodyPr/>
        <a:lstStyle/>
        <a:p>
          <a:endParaRPr lang="en-GB"/>
        </a:p>
      </dgm:t>
    </dgm:pt>
    <dgm:pt modelId="{FA8A86DB-6741-429A-A11F-8DBCDDCCC9E6}" type="pres">
      <dgm:prSet presAssocID="{82C8439A-3117-432A-B0AF-201FBDE784C2}" presName="levelTx" presStyleLbl="revTx" presStyleIdx="0" presStyleCnt="0">
        <dgm:presLayoutVars>
          <dgm:chMax val="1"/>
          <dgm:bulletEnabled val="1"/>
        </dgm:presLayoutVars>
      </dgm:prSet>
      <dgm:spPr/>
      <dgm:t>
        <a:bodyPr/>
        <a:lstStyle/>
        <a:p>
          <a:endParaRPr lang="en-GB"/>
        </a:p>
      </dgm:t>
    </dgm:pt>
    <dgm:pt modelId="{EE371516-8B60-401E-BAE2-A16BC117AC73}" type="pres">
      <dgm:prSet presAssocID="{DD4B29EC-A5E3-4558-9349-48E408AF0DD9}" presName="Name8" presStyleCnt="0"/>
      <dgm:spPr/>
    </dgm:pt>
    <dgm:pt modelId="{2F88593B-94B2-4A8C-A0F1-865A6A571BAB}" type="pres">
      <dgm:prSet presAssocID="{DD4B29EC-A5E3-4558-9349-48E408AF0DD9}" presName="level" presStyleLbl="node1" presStyleIdx="2" presStyleCnt="5">
        <dgm:presLayoutVars>
          <dgm:chMax val="1"/>
          <dgm:bulletEnabled val="1"/>
        </dgm:presLayoutVars>
      </dgm:prSet>
      <dgm:spPr/>
      <dgm:t>
        <a:bodyPr/>
        <a:lstStyle/>
        <a:p>
          <a:endParaRPr lang="en-GB"/>
        </a:p>
      </dgm:t>
    </dgm:pt>
    <dgm:pt modelId="{742C5DEA-C127-434E-AC6E-12A6392EC745}" type="pres">
      <dgm:prSet presAssocID="{DD4B29EC-A5E3-4558-9349-48E408AF0DD9}" presName="levelTx" presStyleLbl="revTx" presStyleIdx="0" presStyleCnt="0">
        <dgm:presLayoutVars>
          <dgm:chMax val="1"/>
          <dgm:bulletEnabled val="1"/>
        </dgm:presLayoutVars>
      </dgm:prSet>
      <dgm:spPr/>
      <dgm:t>
        <a:bodyPr/>
        <a:lstStyle/>
        <a:p>
          <a:endParaRPr lang="en-GB"/>
        </a:p>
      </dgm:t>
    </dgm:pt>
    <dgm:pt modelId="{4BA5AFB9-0187-4BFA-898B-56FE1A3385E1}" type="pres">
      <dgm:prSet presAssocID="{16EB5903-E9AC-42E6-949F-1F09ECBFD281}" presName="Name8" presStyleCnt="0"/>
      <dgm:spPr/>
    </dgm:pt>
    <dgm:pt modelId="{C0984A4F-3979-4FD7-896E-43DF05D60B96}" type="pres">
      <dgm:prSet presAssocID="{16EB5903-E9AC-42E6-949F-1F09ECBFD281}" presName="level" presStyleLbl="node1" presStyleIdx="3" presStyleCnt="5">
        <dgm:presLayoutVars>
          <dgm:chMax val="1"/>
          <dgm:bulletEnabled val="1"/>
        </dgm:presLayoutVars>
      </dgm:prSet>
      <dgm:spPr/>
      <dgm:t>
        <a:bodyPr/>
        <a:lstStyle/>
        <a:p>
          <a:endParaRPr lang="en-GB"/>
        </a:p>
      </dgm:t>
    </dgm:pt>
    <dgm:pt modelId="{F6CEE8AE-FFF7-441A-85EF-DCF956CD42CE}" type="pres">
      <dgm:prSet presAssocID="{16EB5903-E9AC-42E6-949F-1F09ECBFD281}" presName="levelTx" presStyleLbl="revTx" presStyleIdx="0" presStyleCnt="0">
        <dgm:presLayoutVars>
          <dgm:chMax val="1"/>
          <dgm:bulletEnabled val="1"/>
        </dgm:presLayoutVars>
      </dgm:prSet>
      <dgm:spPr/>
      <dgm:t>
        <a:bodyPr/>
        <a:lstStyle/>
        <a:p>
          <a:endParaRPr lang="en-GB"/>
        </a:p>
      </dgm:t>
    </dgm:pt>
    <dgm:pt modelId="{E97C7039-9753-4AFE-9B6C-EA7177B85275}" type="pres">
      <dgm:prSet presAssocID="{BF2C5566-5399-464E-A229-FEDF111F9D04}" presName="Name8" presStyleCnt="0"/>
      <dgm:spPr/>
    </dgm:pt>
    <dgm:pt modelId="{0D95FB85-0872-4D52-8821-469E9E3C5403}" type="pres">
      <dgm:prSet presAssocID="{BF2C5566-5399-464E-A229-FEDF111F9D04}" presName="level" presStyleLbl="node1" presStyleIdx="4" presStyleCnt="5">
        <dgm:presLayoutVars>
          <dgm:chMax val="1"/>
          <dgm:bulletEnabled val="1"/>
        </dgm:presLayoutVars>
      </dgm:prSet>
      <dgm:spPr/>
      <dgm:t>
        <a:bodyPr/>
        <a:lstStyle/>
        <a:p>
          <a:endParaRPr lang="en-GB"/>
        </a:p>
      </dgm:t>
    </dgm:pt>
    <dgm:pt modelId="{D48EA60B-CA61-47E5-8238-2EF469B457FE}" type="pres">
      <dgm:prSet presAssocID="{BF2C5566-5399-464E-A229-FEDF111F9D04}" presName="levelTx" presStyleLbl="revTx" presStyleIdx="0" presStyleCnt="0">
        <dgm:presLayoutVars>
          <dgm:chMax val="1"/>
          <dgm:bulletEnabled val="1"/>
        </dgm:presLayoutVars>
      </dgm:prSet>
      <dgm:spPr/>
      <dgm:t>
        <a:bodyPr/>
        <a:lstStyle/>
        <a:p>
          <a:endParaRPr lang="en-GB"/>
        </a:p>
      </dgm:t>
    </dgm:pt>
  </dgm:ptLst>
  <dgm:cxnLst>
    <dgm:cxn modelId="{6063CC94-FF17-447A-BD17-33473CF11494}" type="presOf" srcId="{5E5A7D13-BF2E-42C3-B335-BC4A5356BAFE}" destId="{81FD2246-B98C-4BF6-9AF6-DBDD8C7595C0}" srcOrd="0" destOrd="0" presId="urn:microsoft.com/office/officeart/2005/8/layout/pyramid1"/>
    <dgm:cxn modelId="{C9EDCCDD-5EB0-449F-A694-437232302292}" srcId="{5E5A7D13-BF2E-42C3-B335-BC4A5356BAFE}" destId="{BF2C5566-5399-464E-A229-FEDF111F9D04}" srcOrd="4" destOrd="0" parTransId="{D5B62AB1-38EA-4891-A22A-6D093844D0C5}" sibTransId="{471021E9-AD4F-421B-A6B8-4CAF7393DDD3}"/>
    <dgm:cxn modelId="{DD2FCF3E-C965-454E-BAF1-3FFA66FA621B}" type="presOf" srcId="{82C8439A-3117-432A-B0AF-201FBDE784C2}" destId="{828E8566-9D04-48B7-8DEC-00E65F261A3C}" srcOrd="0" destOrd="0" presId="urn:microsoft.com/office/officeart/2005/8/layout/pyramid1"/>
    <dgm:cxn modelId="{8817C3C3-165D-43A7-8895-DED4A96512D3}" type="presOf" srcId="{BF2C5566-5399-464E-A229-FEDF111F9D04}" destId="{D48EA60B-CA61-47E5-8238-2EF469B457FE}" srcOrd="1" destOrd="0" presId="urn:microsoft.com/office/officeart/2005/8/layout/pyramid1"/>
    <dgm:cxn modelId="{7C30CAF8-326F-44CF-9684-BDCFF4CD39B1}" type="presOf" srcId="{DD4B29EC-A5E3-4558-9349-48E408AF0DD9}" destId="{742C5DEA-C127-434E-AC6E-12A6392EC745}" srcOrd="1" destOrd="0" presId="urn:microsoft.com/office/officeart/2005/8/layout/pyramid1"/>
    <dgm:cxn modelId="{57066F4F-7AE1-40F9-AE77-1BBE20111552}" type="presOf" srcId="{16EB5903-E9AC-42E6-949F-1F09ECBFD281}" destId="{F6CEE8AE-FFF7-441A-85EF-DCF956CD42CE}" srcOrd="1" destOrd="0" presId="urn:microsoft.com/office/officeart/2005/8/layout/pyramid1"/>
    <dgm:cxn modelId="{C7B495C0-ADC0-4590-B2E0-3E4D047DF49C}" type="presOf" srcId="{82C8439A-3117-432A-B0AF-201FBDE784C2}" destId="{FA8A86DB-6741-429A-A11F-8DBCDDCCC9E6}" srcOrd="1" destOrd="0" presId="urn:microsoft.com/office/officeart/2005/8/layout/pyramid1"/>
    <dgm:cxn modelId="{1CB2E2FD-7C86-4320-BAA7-B8A39F0FE6BF}" type="presOf" srcId="{D1740328-B7BF-48FF-920D-87C5739B4AA6}" destId="{DC797931-60CD-476A-AEED-02819E85C25A}" srcOrd="1" destOrd="0" presId="urn:microsoft.com/office/officeart/2005/8/layout/pyramid1"/>
    <dgm:cxn modelId="{C1C18C9A-225D-4323-BF0E-91EF23E83548}" srcId="{5E5A7D13-BF2E-42C3-B335-BC4A5356BAFE}" destId="{16EB5903-E9AC-42E6-949F-1F09ECBFD281}" srcOrd="3" destOrd="0" parTransId="{AEDB7388-43D3-4B11-AF80-3D2B84CABD13}" sibTransId="{E78D16D2-E8EF-416C-9D37-4E887E78427A}"/>
    <dgm:cxn modelId="{E6B941B8-10DE-4C0B-A64C-C0D8D7507051}" srcId="{5E5A7D13-BF2E-42C3-B335-BC4A5356BAFE}" destId="{D1740328-B7BF-48FF-920D-87C5739B4AA6}" srcOrd="0" destOrd="0" parTransId="{39B01513-5868-481E-ABFC-E46E139446B2}" sibTransId="{07E764ED-F925-4342-AAE6-EB81039292AA}"/>
    <dgm:cxn modelId="{FE0243BF-CDC2-4A9A-9DB5-C0B0301D7C9D}" srcId="{5E5A7D13-BF2E-42C3-B335-BC4A5356BAFE}" destId="{82C8439A-3117-432A-B0AF-201FBDE784C2}" srcOrd="1" destOrd="0" parTransId="{D78D8512-B5A7-4499-97D4-59B2002E2A5A}" sibTransId="{540D296C-54C8-4D4E-B82A-4B7A8C5CB7EB}"/>
    <dgm:cxn modelId="{DDC44ED9-7620-4A01-AA23-3833E8269D46}" type="presOf" srcId="{BF2C5566-5399-464E-A229-FEDF111F9D04}" destId="{0D95FB85-0872-4D52-8821-469E9E3C5403}" srcOrd="0" destOrd="0" presId="urn:microsoft.com/office/officeart/2005/8/layout/pyramid1"/>
    <dgm:cxn modelId="{1E61AF28-89A4-4019-A4C2-8204BA608BB7}" type="presOf" srcId="{D1740328-B7BF-48FF-920D-87C5739B4AA6}" destId="{5FFD3899-1A0F-4B77-8A15-11A8CACD2A0D}" srcOrd="0" destOrd="0" presId="urn:microsoft.com/office/officeart/2005/8/layout/pyramid1"/>
    <dgm:cxn modelId="{374A7D83-34A8-49AE-B13B-83B61D958169}" type="presOf" srcId="{DD4B29EC-A5E3-4558-9349-48E408AF0DD9}" destId="{2F88593B-94B2-4A8C-A0F1-865A6A571BAB}" srcOrd="0" destOrd="0" presId="urn:microsoft.com/office/officeart/2005/8/layout/pyramid1"/>
    <dgm:cxn modelId="{CA528ABA-DA73-4139-AF79-EF5837E4AF15}" type="presOf" srcId="{16EB5903-E9AC-42E6-949F-1F09ECBFD281}" destId="{C0984A4F-3979-4FD7-896E-43DF05D60B96}" srcOrd="0" destOrd="0" presId="urn:microsoft.com/office/officeart/2005/8/layout/pyramid1"/>
    <dgm:cxn modelId="{CD942E46-15F5-4016-BF6C-C5791B28E0C6}" srcId="{5E5A7D13-BF2E-42C3-B335-BC4A5356BAFE}" destId="{DD4B29EC-A5E3-4558-9349-48E408AF0DD9}" srcOrd="2" destOrd="0" parTransId="{D6515218-8110-4CDC-BFE1-6B919D3E42E7}" sibTransId="{E02878C2-6F3D-4347-8E9B-A345A450F1B2}"/>
    <dgm:cxn modelId="{2FA3ECEE-3116-4B8B-80C7-78B403A31962}" type="presParOf" srcId="{81FD2246-B98C-4BF6-9AF6-DBDD8C7595C0}" destId="{69BFE83A-5778-4A98-9646-4365377E3AA0}" srcOrd="0" destOrd="0" presId="urn:microsoft.com/office/officeart/2005/8/layout/pyramid1"/>
    <dgm:cxn modelId="{737F1C3C-BE0A-46EF-96A8-B8353EB91611}" type="presParOf" srcId="{69BFE83A-5778-4A98-9646-4365377E3AA0}" destId="{5FFD3899-1A0F-4B77-8A15-11A8CACD2A0D}" srcOrd="0" destOrd="0" presId="urn:microsoft.com/office/officeart/2005/8/layout/pyramid1"/>
    <dgm:cxn modelId="{507FCDA6-B9AC-42BA-80CE-D26C85C1297A}" type="presParOf" srcId="{69BFE83A-5778-4A98-9646-4365377E3AA0}" destId="{DC797931-60CD-476A-AEED-02819E85C25A}" srcOrd="1" destOrd="0" presId="urn:microsoft.com/office/officeart/2005/8/layout/pyramid1"/>
    <dgm:cxn modelId="{3B0CBE27-8EC1-4FCE-8131-05D563B0D2E0}" type="presParOf" srcId="{81FD2246-B98C-4BF6-9AF6-DBDD8C7595C0}" destId="{CF5422E3-E7E0-42F9-8DE2-1B0FBA8B0BE8}" srcOrd="1" destOrd="0" presId="urn:microsoft.com/office/officeart/2005/8/layout/pyramid1"/>
    <dgm:cxn modelId="{B674DC1F-A74F-48E3-9513-9D3FC6B377F6}" type="presParOf" srcId="{CF5422E3-E7E0-42F9-8DE2-1B0FBA8B0BE8}" destId="{828E8566-9D04-48B7-8DEC-00E65F261A3C}" srcOrd="0" destOrd="0" presId="urn:microsoft.com/office/officeart/2005/8/layout/pyramid1"/>
    <dgm:cxn modelId="{7E671AA7-9AE2-4F6A-AAC0-A7846D20A294}" type="presParOf" srcId="{CF5422E3-E7E0-42F9-8DE2-1B0FBA8B0BE8}" destId="{FA8A86DB-6741-429A-A11F-8DBCDDCCC9E6}" srcOrd="1" destOrd="0" presId="urn:microsoft.com/office/officeart/2005/8/layout/pyramid1"/>
    <dgm:cxn modelId="{466C9E9A-B992-4433-8A52-F47051657B64}" type="presParOf" srcId="{81FD2246-B98C-4BF6-9AF6-DBDD8C7595C0}" destId="{EE371516-8B60-401E-BAE2-A16BC117AC73}" srcOrd="2" destOrd="0" presId="urn:microsoft.com/office/officeart/2005/8/layout/pyramid1"/>
    <dgm:cxn modelId="{1F903375-42CF-4860-BCFB-630C252239E4}" type="presParOf" srcId="{EE371516-8B60-401E-BAE2-A16BC117AC73}" destId="{2F88593B-94B2-4A8C-A0F1-865A6A571BAB}" srcOrd="0" destOrd="0" presId="urn:microsoft.com/office/officeart/2005/8/layout/pyramid1"/>
    <dgm:cxn modelId="{3CD2ED4B-9E2C-4F0F-9277-831DCAAB5B29}" type="presParOf" srcId="{EE371516-8B60-401E-BAE2-A16BC117AC73}" destId="{742C5DEA-C127-434E-AC6E-12A6392EC745}" srcOrd="1" destOrd="0" presId="urn:microsoft.com/office/officeart/2005/8/layout/pyramid1"/>
    <dgm:cxn modelId="{29AFCAA8-429E-47B8-BC12-553ECD8D3676}" type="presParOf" srcId="{81FD2246-B98C-4BF6-9AF6-DBDD8C7595C0}" destId="{4BA5AFB9-0187-4BFA-898B-56FE1A3385E1}" srcOrd="3" destOrd="0" presId="urn:microsoft.com/office/officeart/2005/8/layout/pyramid1"/>
    <dgm:cxn modelId="{C58B190C-BDA2-488A-A85E-675645E36D8C}" type="presParOf" srcId="{4BA5AFB9-0187-4BFA-898B-56FE1A3385E1}" destId="{C0984A4F-3979-4FD7-896E-43DF05D60B96}" srcOrd="0" destOrd="0" presId="urn:microsoft.com/office/officeart/2005/8/layout/pyramid1"/>
    <dgm:cxn modelId="{03B52604-0BCE-4D91-8AC0-D022AE06FC10}" type="presParOf" srcId="{4BA5AFB9-0187-4BFA-898B-56FE1A3385E1}" destId="{F6CEE8AE-FFF7-441A-85EF-DCF956CD42CE}" srcOrd="1" destOrd="0" presId="urn:microsoft.com/office/officeart/2005/8/layout/pyramid1"/>
    <dgm:cxn modelId="{B3C1A5DF-26C8-4E3B-A5C6-6AF5363BB09B}" type="presParOf" srcId="{81FD2246-B98C-4BF6-9AF6-DBDD8C7595C0}" destId="{E97C7039-9753-4AFE-9B6C-EA7177B85275}" srcOrd="4" destOrd="0" presId="urn:microsoft.com/office/officeart/2005/8/layout/pyramid1"/>
    <dgm:cxn modelId="{DA965059-3E75-4EA4-B499-3DD978CC0150}" type="presParOf" srcId="{E97C7039-9753-4AFE-9B6C-EA7177B85275}" destId="{0D95FB85-0872-4D52-8821-469E9E3C5403}" srcOrd="0" destOrd="0" presId="urn:microsoft.com/office/officeart/2005/8/layout/pyramid1"/>
    <dgm:cxn modelId="{62EAD3EA-80B2-43A4-BBC0-41A10564BC9F}" type="presParOf" srcId="{E97C7039-9753-4AFE-9B6C-EA7177B85275}" destId="{D48EA60B-CA61-47E5-8238-2EF469B457FE}" srcOrd="1" destOrd="0" presId="urn:microsoft.com/office/officeart/2005/8/layout/pyramid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FD3899-1A0F-4B77-8A15-11A8CACD2A0D}">
      <dsp:nvSpPr>
        <dsp:cNvPr id="0" name=""/>
        <dsp:cNvSpPr/>
      </dsp:nvSpPr>
      <dsp:spPr>
        <a:xfrm>
          <a:off x="1708974" y="0"/>
          <a:ext cx="1147123" cy="600542"/>
        </a:xfrm>
        <a:prstGeom prst="trapezoid">
          <a:avLst>
            <a:gd name="adj" fmla="val 9550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en-GB" sz="1100" kern="1200" dirty="0">
            <a:solidFill>
              <a:schemeClr val="bg1"/>
            </a:solidFill>
          </a:endParaRPr>
        </a:p>
        <a:p>
          <a:pPr lvl="0" algn="ctr" defTabSz="488950">
            <a:lnSpc>
              <a:spcPct val="90000"/>
            </a:lnSpc>
            <a:spcBef>
              <a:spcPct val="0"/>
            </a:spcBef>
            <a:spcAft>
              <a:spcPct val="35000"/>
            </a:spcAft>
          </a:pPr>
          <a:endParaRPr lang="en-GB" sz="1100" kern="1200" dirty="0">
            <a:solidFill>
              <a:schemeClr val="bg1"/>
            </a:solidFill>
          </a:endParaRPr>
        </a:p>
        <a:p>
          <a:pPr lvl="0" algn="ctr" defTabSz="488950">
            <a:lnSpc>
              <a:spcPct val="90000"/>
            </a:lnSpc>
            <a:spcBef>
              <a:spcPct val="0"/>
            </a:spcBef>
            <a:spcAft>
              <a:spcPct val="35000"/>
            </a:spcAft>
          </a:pPr>
          <a:r>
            <a:rPr lang="en-GB" sz="1100" kern="1200" dirty="0">
              <a:solidFill>
                <a:schemeClr val="bg1"/>
              </a:solidFill>
            </a:rPr>
            <a:t>Board</a:t>
          </a:r>
        </a:p>
      </dsp:txBody>
      <dsp:txXfrm>
        <a:off x="1708974" y="0"/>
        <a:ext cx="1147123" cy="600542"/>
      </dsp:txXfrm>
    </dsp:sp>
    <dsp:sp modelId="{828E8566-9D04-48B7-8DEC-00E65F261A3C}">
      <dsp:nvSpPr>
        <dsp:cNvPr id="0" name=""/>
        <dsp:cNvSpPr/>
      </dsp:nvSpPr>
      <dsp:spPr>
        <a:xfrm>
          <a:off x="1281731" y="600542"/>
          <a:ext cx="2001610" cy="447341"/>
        </a:xfrm>
        <a:prstGeom prst="trapezoid">
          <a:avLst>
            <a:gd name="adj" fmla="val 9550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dirty="0">
              <a:solidFill>
                <a:schemeClr val="bg1"/>
              </a:solidFill>
            </a:rPr>
            <a:t>Audit Committee</a:t>
          </a:r>
        </a:p>
      </dsp:txBody>
      <dsp:txXfrm>
        <a:off x="1632012" y="600542"/>
        <a:ext cx="1301047" cy="447341"/>
      </dsp:txXfrm>
    </dsp:sp>
    <dsp:sp modelId="{2F88593B-94B2-4A8C-A0F1-865A6A571BAB}">
      <dsp:nvSpPr>
        <dsp:cNvPr id="0" name=""/>
        <dsp:cNvSpPr/>
      </dsp:nvSpPr>
      <dsp:spPr>
        <a:xfrm>
          <a:off x="854487" y="1047884"/>
          <a:ext cx="2856098" cy="447341"/>
        </a:xfrm>
        <a:prstGeom prst="trapezoid">
          <a:avLst>
            <a:gd name="adj" fmla="val 9550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dirty="0">
              <a:solidFill>
                <a:schemeClr val="bg1"/>
              </a:solidFill>
            </a:rPr>
            <a:t>Management Board</a:t>
          </a:r>
        </a:p>
      </dsp:txBody>
      <dsp:txXfrm>
        <a:off x="1354304" y="1047884"/>
        <a:ext cx="1856463" cy="447341"/>
      </dsp:txXfrm>
    </dsp:sp>
    <dsp:sp modelId="{C0984A4F-3979-4FD7-896E-43DF05D60B96}">
      <dsp:nvSpPr>
        <dsp:cNvPr id="0" name=""/>
        <dsp:cNvSpPr/>
      </dsp:nvSpPr>
      <dsp:spPr>
        <a:xfrm>
          <a:off x="427243" y="1495225"/>
          <a:ext cx="3710585" cy="447341"/>
        </a:xfrm>
        <a:prstGeom prst="trapezoid">
          <a:avLst>
            <a:gd name="adj" fmla="val 9550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dirty="0">
              <a:solidFill>
                <a:schemeClr val="bg1"/>
              </a:solidFill>
            </a:rPr>
            <a:t>Finance and Regulation Departments</a:t>
          </a:r>
        </a:p>
      </dsp:txBody>
      <dsp:txXfrm>
        <a:off x="1076596" y="1495225"/>
        <a:ext cx="2411880" cy="447341"/>
      </dsp:txXfrm>
    </dsp:sp>
    <dsp:sp modelId="{0D95FB85-0872-4D52-8821-469E9E3C5403}">
      <dsp:nvSpPr>
        <dsp:cNvPr id="0" name=""/>
        <dsp:cNvSpPr/>
      </dsp:nvSpPr>
      <dsp:spPr>
        <a:xfrm>
          <a:off x="0" y="1942567"/>
          <a:ext cx="4565073" cy="447341"/>
        </a:xfrm>
        <a:prstGeom prst="trapezoid">
          <a:avLst>
            <a:gd name="adj" fmla="val 9550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en-GB" sz="1100" kern="1200" dirty="0">
            <a:solidFill>
              <a:schemeClr val="bg1"/>
            </a:solidFill>
          </a:endParaRPr>
        </a:p>
        <a:p>
          <a:pPr lvl="0" algn="r" defTabSz="488950">
            <a:lnSpc>
              <a:spcPct val="90000"/>
            </a:lnSpc>
            <a:spcBef>
              <a:spcPct val="0"/>
            </a:spcBef>
            <a:spcAft>
              <a:spcPct val="35000"/>
            </a:spcAft>
          </a:pPr>
          <a:r>
            <a:rPr lang="en-GB" sz="1100" kern="1200" dirty="0">
              <a:solidFill>
                <a:schemeClr val="bg1"/>
              </a:solidFill>
            </a:rPr>
            <a:t>         Data </a:t>
          </a:r>
          <a:r>
            <a:rPr lang="en-GB" sz="1100" kern="1200">
              <a:solidFill>
                <a:schemeClr val="bg1"/>
              </a:solidFill>
            </a:rPr>
            <a:t>Originator and Management </a:t>
          </a:r>
          <a:r>
            <a:rPr lang="en-GB" sz="1100" kern="1200" dirty="0">
              <a:solidFill>
                <a:schemeClr val="bg1"/>
              </a:solidFill>
            </a:rPr>
            <a:t>sign off			</a:t>
          </a:r>
        </a:p>
      </dsp:txBody>
      <dsp:txXfrm>
        <a:off x="798887" y="1942567"/>
        <a:ext cx="2967297" cy="44734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D74EE-46F1-4E54-9EE4-32304CBA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33A0C469</Template>
  <TotalTime>175</TotalTime>
  <Pages>1</Pages>
  <Words>5259</Words>
  <Characters>29978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Anne</dc:creator>
  <cp:keywords/>
  <dc:description/>
  <cp:lastModifiedBy>Morley, Steve</cp:lastModifiedBy>
  <cp:revision>18</cp:revision>
  <cp:lastPrinted>2016-02-12T14:05:00Z</cp:lastPrinted>
  <dcterms:created xsi:type="dcterms:W3CDTF">2019-04-29T15:53:00Z</dcterms:created>
  <dcterms:modified xsi:type="dcterms:W3CDTF">2019-04-30T13:00:00Z</dcterms:modified>
</cp:coreProperties>
</file>