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963" w:rsidRDefault="00675963" w:rsidP="00675963">
      <w:pPr>
        <w:jc w:val="right"/>
        <w:rPr>
          <w:rFonts w:ascii="Arial" w:hAnsi="Arial" w:cs="Arial"/>
          <w:b/>
          <w:bCs/>
        </w:rPr>
      </w:pPr>
      <w:bookmarkStart w:id="0" w:name="_GoBack"/>
      <w:bookmarkEnd w:id="0"/>
      <w:r w:rsidRPr="00086296">
        <w:rPr>
          <w:rFonts w:cs="Arial"/>
          <w:noProof/>
          <w:lang w:eastAsia="en-GB"/>
        </w:rPr>
        <w:drawing>
          <wp:inline distT="0" distB="0" distL="0" distR="0">
            <wp:extent cx="2943225" cy="1466850"/>
            <wp:effectExtent l="0" t="0" r="9525" b="0"/>
            <wp:docPr id="6" name="Picture 6" descr="PW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WLOGO2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1466850"/>
                    </a:xfrm>
                    <a:prstGeom prst="rect">
                      <a:avLst/>
                    </a:prstGeom>
                    <a:noFill/>
                    <a:ln>
                      <a:noFill/>
                    </a:ln>
                  </pic:spPr>
                </pic:pic>
              </a:graphicData>
            </a:graphic>
          </wp:inline>
        </w:drawing>
      </w:r>
    </w:p>
    <w:p w:rsidR="00675963" w:rsidRDefault="00675963" w:rsidP="00675963">
      <w:pPr>
        <w:rPr>
          <w:rFonts w:ascii="Arial" w:hAnsi="Arial" w:cs="Arial"/>
          <w:b/>
          <w:bCs/>
        </w:rPr>
      </w:pPr>
    </w:p>
    <w:p w:rsidR="00675963" w:rsidRDefault="00675963" w:rsidP="00675963">
      <w:pPr>
        <w:rPr>
          <w:rFonts w:ascii="Arial" w:hAnsi="Arial" w:cs="Arial"/>
          <w:b/>
          <w:bCs/>
        </w:rPr>
      </w:pPr>
    </w:p>
    <w:p w:rsidR="00675963" w:rsidRDefault="00675963" w:rsidP="00675963">
      <w:pPr>
        <w:rPr>
          <w:rFonts w:ascii="Arial" w:hAnsi="Arial" w:cs="Arial"/>
          <w:b/>
          <w:bCs/>
        </w:rPr>
      </w:pPr>
    </w:p>
    <w:p w:rsidR="00675963" w:rsidRDefault="00675963" w:rsidP="00675963">
      <w:pPr>
        <w:rPr>
          <w:rFonts w:ascii="Arial" w:hAnsi="Arial" w:cs="Arial"/>
          <w:b/>
          <w:bCs/>
          <w:sz w:val="36"/>
          <w:szCs w:val="36"/>
        </w:rPr>
      </w:pPr>
      <w:r w:rsidRPr="006D7273">
        <w:rPr>
          <w:rFonts w:ascii="Arial" w:hAnsi="Arial" w:cs="Arial"/>
          <w:b/>
          <w:bCs/>
          <w:sz w:val="36"/>
          <w:szCs w:val="36"/>
        </w:rPr>
        <w:t xml:space="preserve">Portsmouth Water’s </w:t>
      </w:r>
      <w:r>
        <w:rPr>
          <w:rFonts w:ascii="Arial" w:hAnsi="Arial" w:cs="Arial"/>
          <w:b/>
          <w:bCs/>
          <w:sz w:val="36"/>
          <w:szCs w:val="36"/>
        </w:rPr>
        <w:t>Data Assurance Summary 201</w:t>
      </w:r>
      <w:r w:rsidR="006643E2">
        <w:rPr>
          <w:rFonts w:ascii="Arial" w:hAnsi="Arial" w:cs="Arial"/>
          <w:b/>
          <w:bCs/>
          <w:sz w:val="36"/>
          <w:szCs w:val="36"/>
        </w:rPr>
        <w:t>7</w:t>
      </w:r>
      <w:r>
        <w:rPr>
          <w:rFonts w:ascii="Arial" w:hAnsi="Arial" w:cs="Arial"/>
          <w:b/>
          <w:bCs/>
          <w:sz w:val="36"/>
          <w:szCs w:val="36"/>
        </w:rPr>
        <w:t>/1</w:t>
      </w:r>
      <w:r w:rsidR="006643E2">
        <w:rPr>
          <w:rFonts w:ascii="Arial" w:hAnsi="Arial" w:cs="Arial"/>
          <w:b/>
          <w:bCs/>
          <w:sz w:val="36"/>
          <w:szCs w:val="36"/>
        </w:rPr>
        <w:t>8</w:t>
      </w:r>
    </w:p>
    <w:p w:rsidR="00675963" w:rsidRDefault="00675963" w:rsidP="00675963">
      <w:pPr>
        <w:rPr>
          <w:rFonts w:ascii="Arial" w:hAnsi="Arial" w:cs="Arial"/>
          <w:b/>
          <w:bCs/>
          <w:sz w:val="36"/>
          <w:szCs w:val="36"/>
        </w:rPr>
      </w:pPr>
    </w:p>
    <w:p w:rsidR="00054166" w:rsidRPr="00476849" w:rsidRDefault="0029073D" w:rsidP="0029073D">
      <w:pPr>
        <w:spacing w:after="0"/>
        <w:rPr>
          <w:rFonts w:ascii="Arial" w:hAnsi="Arial" w:cs="Arial"/>
          <w:b/>
          <w:sz w:val="24"/>
          <w:szCs w:val="24"/>
        </w:rPr>
      </w:pPr>
      <w:r>
        <w:rPr>
          <w:rFonts w:ascii="Arial" w:hAnsi="Arial" w:cs="Arial"/>
          <w:b/>
          <w:bCs/>
          <w:sz w:val="36"/>
          <w:szCs w:val="36"/>
        </w:rPr>
        <w:t>July 201</w:t>
      </w:r>
      <w:r w:rsidR="006643E2">
        <w:rPr>
          <w:rFonts w:ascii="Arial" w:hAnsi="Arial" w:cs="Arial"/>
          <w:b/>
          <w:bCs/>
          <w:sz w:val="36"/>
          <w:szCs w:val="36"/>
        </w:rPr>
        <w:t>8</w:t>
      </w:r>
      <w:r w:rsidR="00675963">
        <w:rPr>
          <w:rFonts w:ascii="Arial" w:hAnsi="Arial" w:cs="Arial"/>
          <w:b/>
          <w:bCs/>
          <w:sz w:val="36"/>
          <w:szCs w:val="36"/>
        </w:rPr>
        <w:t xml:space="preserve"> </w:t>
      </w:r>
      <w:r w:rsidR="00675963" w:rsidRPr="006D7273">
        <w:rPr>
          <w:rFonts w:ascii="Arial" w:hAnsi="Arial" w:cs="Arial"/>
          <w:b/>
          <w:bCs/>
          <w:sz w:val="36"/>
          <w:szCs w:val="36"/>
        </w:rPr>
        <w:br w:type="page"/>
      </w:r>
      <w:r w:rsidR="003E777E" w:rsidRPr="00476849">
        <w:rPr>
          <w:rFonts w:ascii="Arial" w:hAnsi="Arial" w:cs="Arial"/>
          <w:b/>
          <w:sz w:val="24"/>
          <w:szCs w:val="24"/>
        </w:rPr>
        <w:lastRenderedPageBreak/>
        <w:t>Data Assurance Summary</w:t>
      </w:r>
    </w:p>
    <w:p w:rsidR="00CB10A4" w:rsidRDefault="00CB10A4" w:rsidP="00CB10A4">
      <w:pPr>
        <w:autoSpaceDE w:val="0"/>
        <w:autoSpaceDN w:val="0"/>
        <w:adjustRightInd w:val="0"/>
        <w:spacing w:after="0" w:line="240" w:lineRule="auto"/>
        <w:rPr>
          <w:rFonts w:ascii="Arial" w:hAnsi="Arial" w:cs="Arial"/>
          <w:b/>
          <w:color w:val="000000" w:themeColor="text1"/>
        </w:rPr>
      </w:pPr>
    </w:p>
    <w:p w:rsidR="003E777E" w:rsidRPr="00C6115D" w:rsidRDefault="00476849" w:rsidP="00CB10A4">
      <w:pPr>
        <w:autoSpaceDE w:val="0"/>
        <w:autoSpaceDN w:val="0"/>
        <w:adjustRightInd w:val="0"/>
        <w:spacing w:after="0" w:line="240" w:lineRule="auto"/>
        <w:rPr>
          <w:rFonts w:ascii="Arial" w:hAnsi="Arial" w:cs="Arial"/>
          <w:b/>
          <w:color w:val="000000" w:themeColor="text1"/>
        </w:rPr>
      </w:pPr>
      <w:r>
        <w:rPr>
          <w:rFonts w:ascii="Arial" w:hAnsi="Arial" w:cs="Arial"/>
          <w:b/>
          <w:color w:val="000000" w:themeColor="text1"/>
        </w:rPr>
        <w:t xml:space="preserve">1. </w:t>
      </w:r>
      <w:r w:rsidR="003E777E" w:rsidRPr="00C6115D">
        <w:rPr>
          <w:rFonts w:ascii="Arial" w:hAnsi="Arial" w:cs="Arial"/>
          <w:b/>
          <w:color w:val="000000" w:themeColor="text1"/>
        </w:rPr>
        <w:t>Background</w:t>
      </w:r>
    </w:p>
    <w:p w:rsidR="00476849" w:rsidRDefault="00476849" w:rsidP="00CB10A4">
      <w:pPr>
        <w:autoSpaceDE w:val="0"/>
        <w:autoSpaceDN w:val="0"/>
        <w:adjustRightInd w:val="0"/>
        <w:spacing w:after="0" w:line="240" w:lineRule="auto"/>
        <w:rPr>
          <w:rFonts w:ascii="Arial" w:hAnsi="Arial" w:cs="Arial"/>
          <w:color w:val="000000" w:themeColor="text1"/>
        </w:rPr>
      </w:pPr>
    </w:p>
    <w:p w:rsidR="00533F28" w:rsidRDefault="003E777E" w:rsidP="00CB10A4">
      <w:pPr>
        <w:autoSpaceDE w:val="0"/>
        <w:autoSpaceDN w:val="0"/>
        <w:adjustRightInd w:val="0"/>
        <w:spacing w:after="0" w:line="240" w:lineRule="auto"/>
        <w:rPr>
          <w:rFonts w:ascii="Arial" w:hAnsi="Arial" w:cs="Arial"/>
          <w:color w:val="000000" w:themeColor="text1"/>
        </w:rPr>
      </w:pPr>
      <w:r w:rsidRPr="00C6115D">
        <w:rPr>
          <w:rFonts w:ascii="Arial" w:hAnsi="Arial" w:cs="Arial"/>
          <w:color w:val="000000" w:themeColor="text1"/>
        </w:rPr>
        <w:t xml:space="preserve">Our shared industry vision for the water sector is one where customers, stakeholders and wider society have trust and confidence in vital water services. </w:t>
      </w:r>
    </w:p>
    <w:p w:rsidR="00533F28" w:rsidRDefault="00533F28" w:rsidP="00CB10A4">
      <w:pPr>
        <w:autoSpaceDE w:val="0"/>
        <w:autoSpaceDN w:val="0"/>
        <w:adjustRightInd w:val="0"/>
        <w:spacing w:after="0" w:line="240" w:lineRule="auto"/>
        <w:rPr>
          <w:rFonts w:ascii="Arial" w:hAnsi="Arial" w:cs="Arial"/>
          <w:color w:val="000000" w:themeColor="text1"/>
        </w:rPr>
      </w:pPr>
    </w:p>
    <w:p w:rsidR="003E777E" w:rsidRPr="00C6115D" w:rsidRDefault="003E777E" w:rsidP="00CB10A4">
      <w:pPr>
        <w:autoSpaceDE w:val="0"/>
        <w:autoSpaceDN w:val="0"/>
        <w:adjustRightInd w:val="0"/>
        <w:spacing w:after="0" w:line="240" w:lineRule="auto"/>
        <w:rPr>
          <w:rFonts w:ascii="Arial" w:hAnsi="Arial" w:cs="Arial"/>
          <w:color w:val="000000" w:themeColor="text1"/>
        </w:rPr>
      </w:pPr>
      <w:r w:rsidRPr="00C6115D">
        <w:rPr>
          <w:rFonts w:ascii="Arial" w:hAnsi="Arial" w:cs="Arial"/>
          <w:color w:val="000000" w:themeColor="text1"/>
        </w:rPr>
        <w:t>As a water company we are committed to being accountable to customers and stakeholders for delivering high quality services.  We report information about our performance in a number of different ways includin</w:t>
      </w:r>
      <w:r w:rsidR="008213B3" w:rsidRPr="00C6115D">
        <w:rPr>
          <w:rFonts w:ascii="Arial" w:hAnsi="Arial" w:cs="Arial"/>
          <w:color w:val="000000" w:themeColor="text1"/>
        </w:rPr>
        <w:t>g our Statutory Accounts, the</w:t>
      </w:r>
      <w:r w:rsidRPr="00C6115D">
        <w:rPr>
          <w:rFonts w:ascii="Arial" w:hAnsi="Arial" w:cs="Arial"/>
          <w:color w:val="000000" w:themeColor="text1"/>
        </w:rPr>
        <w:t xml:space="preserve"> Annual Performance Report</w:t>
      </w:r>
      <w:r w:rsidR="008213B3" w:rsidRPr="00C6115D">
        <w:rPr>
          <w:rFonts w:ascii="Arial" w:hAnsi="Arial" w:cs="Arial"/>
          <w:color w:val="000000" w:themeColor="text1"/>
        </w:rPr>
        <w:t xml:space="preserve"> and </w:t>
      </w:r>
      <w:r w:rsidR="00533F28">
        <w:rPr>
          <w:rFonts w:ascii="Arial" w:hAnsi="Arial" w:cs="Arial"/>
          <w:color w:val="000000" w:themeColor="text1"/>
        </w:rPr>
        <w:t xml:space="preserve">an </w:t>
      </w:r>
      <w:r w:rsidR="008213B3" w:rsidRPr="00C6115D">
        <w:rPr>
          <w:rFonts w:ascii="Arial" w:hAnsi="Arial" w:cs="Arial"/>
          <w:color w:val="000000" w:themeColor="text1"/>
        </w:rPr>
        <w:t>annual report covering our Outcome Del</w:t>
      </w:r>
      <w:r w:rsidR="00336529" w:rsidRPr="00C6115D">
        <w:rPr>
          <w:rFonts w:ascii="Arial" w:hAnsi="Arial" w:cs="Arial"/>
          <w:color w:val="000000" w:themeColor="text1"/>
        </w:rPr>
        <w:t>ivery Incentive m</w:t>
      </w:r>
      <w:r w:rsidR="008213B3" w:rsidRPr="00C6115D">
        <w:rPr>
          <w:rFonts w:ascii="Arial" w:hAnsi="Arial" w:cs="Arial"/>
          <w:color w:val="000000" w:themeColor="text1"/>
        </w:rPr>
        <w:t>easures (ODIs)</w:t>
      </w:r>
      <w:r w:rsidRPr="00C6115D">
        <w:rPr>
          <w:rFonts w:ascii="Arial" w:hAnsi="Arial" w:cs="Arial"/>
          <w:color w:val="000000" w:themeColor="text1"/>
        </w:rPr>
        <w:t>.</w:t>
      </w:r>
    </w:p>
    <w:p w:rsidR="003E777E" w:rsidRPr="00C6115D" w:rsidRDefault="003E777E" w:rsidP="00CB10A4">
      <w:pPr>
        <w:autoSpaceDE w:val="0"/>
        <w:autoSpaceDN w:val="0"/>
        <w:adjustRightInd w:val="0"/>
        <w:spacing w:after="0" w:line="240" w:lineRule="auto"/>
        <w:rPr>
          <w:rFonts w:ascii="Arial" w:hAnsi="Arial" w:cs="Arial"/>
          <w:color w:val="000000" w:themeColor="text1"/>
        </w:rPr>
      </w:pPr>
    </w:p>
    <w:p w:rsidR="00533F28" w:rsidRDefault="003E777E" w:rsidP="00C817B3">
      <w:pPr>
        <w:autoSpaceDE w:val="0"/>
        <w:autoSpaceDN w:val="0"/>
        <w:adjustRightInd w:val="0"/>
        <w:spacing w:after="0" w:line="240" w:lineRule="auto"/>
        <w:rPr>
          <w:rFonts w:ascii="Arial" w:hAnsi="Arial" w:cs="Arial"/>
          <w:color w:val="000000" w:themeColor="text1"/>
        </w:rPr>
      </w:pPr>
      <w:r w:rsidRPr="00C6115D">
        <w:rPr>
          <w:rFonts w:ascii="Arial" w:hAnsi="Arial" w:cs="Arial"/>
          <w:color w:val="000000" w:themeColor="text1"/>
        </w:rPr>
        <w:t>We recognise that having information that is</w:t>
      </w:r>
      <w:r w:rsidR="00C817B3">
        <w:rPr>
          <w:rFonts w:ascii="Arial" w:hAnsi="Arial" w:cs="Arial"/>
          <w:color w:val="000000" w:themeColor="text1"/>
        </w:rPr>
        <w:t xml:space="preserve"> reliable, timely, </w:t>
      </w:r>
      <w:r w:rsidRPr="00C6115D">
        <w:rPr>
          <w:rFonts w:ascii="Arial" w:hAnsi="Arial" w:cs="Arial"/>
          <w:color w:val="000000" w:themeColor="text1"/>
        </w:rPr>
        <w:t xml:space="preserve">easy to understand and </w:t>
      </w:r>
      <w:r w:rsidR="00C817B3">
        <w:rPr>
          <w:rFonts w:ascii="Arial" w:hAnsi="Arial" w:cs="Arial"/>
          <w:color w:val="000000" w:themeColor="text1"/>
        </w:rPr>
        <w:t xml:space="preserve">appropriate to the audience </w:t>
      </w:r>
      <w:r w:rsidRPr="00C6115D">
        <w:rPr>
          <w:rFonts w:ascii="Arial" w:hAnsi="Arial" w:cs="Arial"/>
          <w:color w:val="000000" w:themeColor="text1"/>
        </w:rPr>
        <w:t xml:space="preserve">helps everyone have trust and confidence in our performance.  </w:t>
      </w:r>
      <w:r w:rsidR="00C817B3">
        <w:rPr>
          <w:rFonts w:ascii="Arial" w:hAnsi="Arial" w:cs="Arial"/>
          <w:color w:val="000000" w:themeColor="text1"/>
        </w:rPr>
        <w:t>By information we do not mean just data but also the way in which this is presented and explained.  This includes, wherever possible, the provision of comparative information.</w:t>
      </w:r>
    </w:p>
    <w:p w:rsidR="00533F28" w:rsidRDefault="00533F28" w:rsidP="00CB10A4">
      <w:pPr>
        <w:autoSpaceDE w:val="0"/>
        <w:autoSpaceDN w:val="0"/>
        <w:adjustRightInd w:val="0"/>
        <w:spacing w:after="0" w:line="240" w:lineRule="auto"/>
        <w:rPr>
          <w:rFonts w:ascii="Arial" w:hAnsi="Arial" w:cs="Arial"/>
          <w:color w:val="000000" w:themeColor="text1"/>
        </w:rPr>
      </w:pPr>
    </w:p>
    <w:p w:rsidR="003E777E" w:rsidRPr="00C6115D" w:rsidRDefault="003E777E" w:rsidP="00CB10A4">
      <w:pPr>
        <w:autoSpaceDE w:val="0"/>
        <w:autoSpaceDN w:val="0"/>
        <w:adjustRightInd w:val="0"/>
        <w:spacing w:after="0" w:line="240" w:lineRule="auto"/>
        <w:rPr>
          <w:rFonts w:ascii="Arial" w:hAnsi="Arial" w:cs="Arial"/>
          <w:color w:val="000000" w:themeColor="text1"/>
        </w:rPr>
      </w:pPr>
      <w:r w:rsidRPr="00C6115D">
        <w:rPr>
          <w:rFonts w:ascii="Arial" w:hAnsi="Arial" w:cs="Arial"/>
          <w:color w:val="000000" w:themeColor="text1"/>
        </w:rPr>
        <w:t>Our Board takes overall responsibility for the quality and transparency of the information that we provide on our performance.  The Company continues to review what information our customers and other stakeholders want and need on an ongoing basis.  We do this through direct consultation and by considering other feedback such as feedback from our regulators.</w:t>
      </w:r>
    </w:p>
    <w:p w:rsidR="003E777E" w:rsidRPr="00C6115D" w:rsidRDefault="003E777E" w:rsidP="00CB10A4">
      <w:pPr>
        <w:autoSpaceDE w:val="0"/>
        <w:autoSpaceDN w:val="0"/>
        <w:adjustRightInd w:val="0"/>
        <w:spacing w:after="0" w:line="240" w:lineRule="auto"/>
        <w:rPr>
          <w:rFonts w:ascii="Arial" w:hAnsi="Arial" w:cs="Arial"/>
          <w:color w:val="000000" w:themeColor="text1"/>
        </w:rPr>
      </w:pPr>
    </w:p>
    <w:p w:rsidR="003E777E" w:rsidRPr="00C6115D" w:rsidRDefault="003E777E" w:rsidP="00CB10A4">
      <w:pPr>
        <w:autoSpaceDE w:val="0"/>
        <w:autoSpaceDN w:val="0"/>
        <w:adjustRightInd w:val="0"/>
        <w:spacing w:after="0" w:line="240" w:lineRule="auto"/>
        <w:rPr>
          <w:rFonts w:ascii="Arial" w:hAnsi="Arial" w:cs="Arial"/>
          <w:color w:val="000000" w:themeColor="text1"/>
        </w:rPr>
      </w:pPr>
      <w:r w:rsidRPr="00C6115D">
        <w:rPr>
          <w:rFonts w:ascii="Arial" w:hAnsi="Arial" w:cs="Arial"/>
          <w:color w:val="000000" w:themeColor="text1"/>
        </w:rPr>
        <w:lastRenderedPageBreak/>
        <w:t>The performance information that we publish is based on a range of different data</w:t>
      </w:r>
      <w:r w:rsidR="00533F28">
        <w:rPr>
          <w:rFonts w:ascii="Arial" w:hAnsi="Arial" w:cs="Arial"/>
          <w:color w:val="000000" w:themeColor="text1"/>
        </w:rPr>
        <w:t>,</w:t>
      </w:r>
      <w:r w:rsidRPr="00C6115D">
        <w:rPr>
          <w:rFonts w:ascii="Arial" w:hAnsi="Arial" w:cs="Arial"/>
          <w:color w:val="000000" w:themeColor="text1"/>
        </w:rPr>
        <w:t xml:space="preserve"> both operational and financial.  We undertake checks on this data to make sure that it is appropriately accurate. Some of this checking is performed b</w:t>
      </w:r>
      <w:r w:rsidR="00E0041B" w:rsidRPr="00C6115D">
        <w:rPr>
          <w:rFonts w:ascii="Arial" w:hAnsi="Arial" w:cs="Arial"/>
          <w:color w:val="000000" w:themeColor="text1"/>
        </w:rPr>
        <w:t>y the C</w:t>
      </w:r>
      <w:r w:rsidRPr="00C6115D">
        <w:rPr>
          <w:rFonts w:ascii="Arial" w:hAnsi="Arial" w:cs="Arial"/>
          <w:color w:val="000000" w:themeColor="text1"/>
        </w:rPr>
        <w:t xml:space="preserve">ompany and some is performed by external parties.  We call this </w:t>
      </w:r>
      <w:r w:rsidR="008213B3" w:rsidRPr="00C6115D">
        <w:rPr>
          <w:rFonts w:ascii="Arial" w:hAnsi="Arial" w:cs="Arial"/>
          <w:color w:val="000000" w:themeColor="text1"/>
        </w:rPr>
        <w:t>“Data A</w:t>
      </w:r>
      <w:r w:rsidRPr="00C6115D">
        <w:rPr>
          <w:rFonts w:ascii="Arial" w:hAnsi="Arial" w:cs="Arial"/>
          <w:color w:val="000000" w:themeColor="text1"/>
        </w:rPr>
        <w:t>ssurance”.</w:t>
      </w:r>
      <w:r w:rsidR="00C817B3">
        <w:rPr>
          <w:rFonts w:ascii="Arial" w:hAnsi="Arial" w:cs="Arial"/>
          <w:color w:val="000000" w:themeColor="text1"/>
        </w:rPr>
        <w:t xml:space="preserve">  In addition the Board, Executive Directors and, in some cases, the CCG also review the wider context and explanation in relation to published data (i.e the information).</w:t>
      </w:r>
    </w:p>
    <w:p w:rsidR="003E777E" w:rsidRPr="00C6115D" w:rsidRDefault="003E777E" w:rsidP="00CB10A4">
      <w:pPr>
        <w:autoSpaceDE w:val="0"/>
        <w:autoSpaceDN w:val="0"/>
        <w:adjustRightInd w:val="0"/>
        <w:spacing w:after="0" w:line="240" w:lineRule="auto"/>
        <w:rPr>
          <w:rFonts w:ascii="Arial" w:hAnsi="Arial" w:cs="Arial"/>
          <w:color w:val="000000" w:themeColor="text1"/>
        </w:rPr>
      </w:pPr>
    </w:p>
    <w:p w:rsidR="00533F28" w:rsidRDefault="003E777E" w:rsidP="00CB10A4">
      <w:pPr>
        <w:spacing w:after="0" w:line="240" w:lineRule="auto"/>
        <w:rPr>
          <w:rFonts w:ascii="Arial" w:hAnsi="Arial" w:cs="Arial"/>
          <w:color w:val="000000" w:themeColor="text1"/>
        </w:rPr>
      </w:pPr>
      <w:r w:rsidRPr="00C6115D">
        <w:rPr>
          <w:rFonts w:ascii="Arial" w:hAnsi="Arial" w:cs="Arial"/>
          <w:color w:val="000000" w:themeColor="text1"/>
        </w:rPr>
        <w:t>It is important that we take a proportionate approach to how</w:t>
      </w:r>
      <w:r w:rsidR="008213B3" w:rsidRPr="00C6115D">
        <w:rPr>
          <w:rFonts w:ascii="Arial" w:hAnsi="Arial" w:cs="Arial"/>
          <w:color w:val="000000" w:themeColor="text1"/>
        </w:rPr>
        <w:t xml:space="preserve"> much assurance we need over this</w:t>
      </w:r>
      <w:r w:rsidRPr="00C6115D">
        <w:rPr>
          <w:rFonts w:ascii="Arial" w:hAnsi="Arial" w:cs="Arial"/>
          <w:color w:val="000000" w:themeColor="text1"/>
        </w:rPr>
        <w:t xml:space="preserve"> data and we </w:t>
      </w:r>
      <w:r w:rsidR="00533F28">
        <w:rPr>
          <w:rFonts w:ascii="Arial" w:hAnsi="Arial" w:cs="Arial"/>
          <w:color w:val="000000" w:themeColor="text1"/>
        </w:rPr>
        <w:t xml:space="preserve">also </w:t>
      </w:r>
      <w:r w:rsidRPr="00C6115D">
        <w:rPr>
          <w:rFonts w:ascii="Arial" w:hAnsi="Arial" w:cs="Arial"/>
          <w:color w:val="000000" w:themeColor="text1"/>
        </w:rPr>
        <w:t>want to be transparent about</w:t>
      </w:r>
      <w:r w:rsidR="008213B3" w:rsidRPr="00C6115D">
        <w:rPr>
          <w:rFonts w:ascii="Arial" w:hAnsi="Arial" w:cs="Arial"/>
          <w:color w:val="000000" w:themeColor="text1"/>
        </w:rPr>
        <w:t xml:space="preserve"> how we get an appropriate level of confidence over the accuracy and completeness of data that we present.  </w:t>
      </w:r>
    </w:p>
    <w:p w:rsidR="00533F28" w:rsidRDefault="00533F28" w:rsidP="00CB10A4">
      <w:pPr>
        <w:spacing w:after="0" w:line="240" w:lineRule="auto"/>
        <w:rPr>
          <w:rFonts w:ascii="Arial" w:hAnsi="Arial" w:cs="Arial"/>
          <w:color w:val="000000" w:themeColor="text1"/>
        </w:rPr>
      </w:pPr>
    </w:p>
    <w:p w:rsidR="003E777E" w:rsidRPr="00C6115D" w:rsidRDefault="008213B3" w:rsidP="00CB10A4">
      <w:pPr>
        <w:spacing w:after="0" w:line="240" w:lineRule="auto"/>
        <w:rPr>
          <w:rFonts w:ascii="Arial" w:hAnsi="Arial" w:cs="Arial"/>
        </w:rPr>
      </w:pPr>
      <w:r w:rsidRPr="00C6115D">
        <w:rPr>
          <w:rFonts w:ascii="Arial" w:hAnsi="Arial" w:cs="Arial"/>
          <w:color w:val="000000" w:themeColor="text1"/>
        </w:rPr>
        <w:t>Our approach to Data A</w:t>
      </w:r>
      <w:r w:rsidR="003E777E" w:rsidRPr="00C6115D">
        <w:rPr>
          <w:rFonts w:ascii="Arial" w:hAnsi="Arial" w:cs="Arial"/>
          <w:color w:val="000000" w:themeColor="text1"/>
        </w:rPr>
        <w:t xml:space="preserve">ssurance is </w:t>
      </w:r>
      <w:r w:rsidR="00736200">
        <w:rPr>
          <w:rFonts w:ascii="Arial" w:hAnsi="Arial" w:cs="Arial"/>
          <w:color w:val="000000" w:themeColor="text1"/>
        </w:rPr>
        <w:t xml:space="preserve">described </w:t>
      </w:r>
      <w:r w:rsidR="00BA196D">
        <w:rPr>
          <w:rFonts w:ascii="Arial" w:hAnsi="Arial" w:cs="Arial"/>
          <w:color w:val="000000" w:themeColor="text1"/>
        </w:rPr>
        <w:t>in the next section.</w:t>
      </w:r>
    </w:p>
    <w:p w:rsidR="00A71052" w:rsidRDefault="00A71052" w:rsidP="00CB10A4">
      <w:pPr>
        <w:autoSpaceDE w:val="0"/>
        <w:autoSpaceDN w:val="0"/>
        <w:adjustRightInd w:val="0"/>
        <w:spacing w:after="0" w:line="240" w:lineRule="auto"/>
        <w:rPr>
          <w:rFonts w:ascii="Arial" w:hAnsi="Arial" w:cs="Arial"/>
          <w:b/>
          <w:bCs/>
        </w:rPr>
      </w:pPr>
    </w:p>
    <w:p w:rsidR="00715BC3" w:rsidRDefault="00715BC3">
      <w:pPr>
        <w:rPr>
          <w:rFonts w:ascii="Arial" w:hAnsi="Arial" w:cs="Arial"/>
          <w:b/>
          <w:bCs/>
        </w:rPr>
      </w:pPr>
      <w:r>
        <w:rPr>
          <w:rFonts w:ascii="Arial" w:hAnsi="Arial" w:cs="Arial"/>
          <w:b/>
          <w:bCs/>
        </w:rPr>
        <w:br w:type="page"/>
      </w:r>
    </w:p>
    <w:p w:rsidR="003E777E" w:rsidRPr="00C6115D" w:rsidRDefault="00476849" w:rsidP="00CB10A4">
      <w:pPr>
        <w:autoSpaceDE w:val="0"/>
        <w:autoSpaceDN w:val="0"/>
        <w:adjustRightInd w:val="0"/>
        <w:spacing w:after="0" w:line="240" w:lineRule="auto"/>
        <w:rPr>
          <w:rFonts w:ascii="Arial" w:hAnsi="Arial" w:cs="Arial"/>
          <w:b/>
          <w:bCs/>
        </w:rPr>
      </w:pPr>
      <w:r>
        <w:rPr>
          <w:rFonts w:ascii="Arial" w:hAnsi="Arial" w:cs="Arial"/>
          <w:b/>
          <w:bCs/>
        </w:rPr>
        <w:lastRenderedPageBreak/>
        <w:t>2 .</w:t>
      </w:r>
      <w:r w:rsidR="00646F55" w:rsidRPr="00C6115D">
        <w:rPr>
          <w:rFonts w:ascii="Arial" w:hAnsi="Arial" w:cs="Arial"/>
          <w:b/>
          <w:bCs/>
        </w:rPr>
        <w:t xml:space="preserve">Summary of </w:t>
      </w:r>
      <w:r w:rsidR="008213B3" w:rsidRPr="00C6115D">
        <w:rPr>
          <w:rFonts w:ascii="Arial" w:hAnsi="Arial" w:cs="Arial"/>
          <w:b/>
          <w:bCs/>
        </w:rPr>
        <w:t>Company Approach to D</w:t>
      </w:r>
      <w:r w:rsidR="003E777E" w:rsidRPr="00C6115D">
        <w:rPr>
          <w:rFonts w:ascii="Arial" w:hAnsi="Arial" w:cs="Arial"/>
          <w:b/>
          <w:bCs/>
        </w:rPr>
        <w:t>ata Assurance</w:t>
      </w:r>
    </w:p>
    <w:p w:rsidR="008213B3" w:rsidRPr="00C6115D" w:rsidRDefault="008213B3" w:rsidP="00CB10A4">
      <w:pPr>
        <w:autoSpaceDE w:val="0"/>
        <w:autoSpaceDN w:val="0"/>
        <w:adjustRightInd w:val="0"/>
        <w:spacing w:after="0" w:line="240" w:lineRule="auto"/>
        <w:rPr>
          <w:rFonts w:ascii="Arial" w:hAnsi="Arial" w:cs="Arial"/>
          <w:bCs/>
        </w:rPr>
      </w:pPr>
    </w:p>
    <w:p w:rsidR="00ED4821" w:rsidRPr="00C6115D" w:rsidRDefault="00ED4821" w:rsidP="00CB10A4">
      <w:pPr>
        <w:autoSpaceDE w:val="0"/>
        <w:autoSpaceDN w:val="0"/>
        <w:adjustRightInd w:val="0"/>
        <w:spacing w:after="0" w:line="240" w:lineRule="auto"/>
        <w:rPr>
          <w:rFonts w:ascii="Arial" w:hAnsi="Arial" w:cs="Arial"/>
          <w:b/>
          <w:bCs/>
          <w:i/>
        </w:rPr>
      </w:pPr>
      <w:r w:rsidRPr="00C6115D">
        <w:rPr>
          <w:rFonts w:ascii="Arial" w:hAnsi="Arial" w:cs="Arial"/>
          <w:b/>
          <w:bCs/>
          <w:i/>
        </w:rPr>
        <w:t>Planning</w:t>
      </w:r>
    </w:p>
    <w:p w:rsidR="00533F28" w:rsidRDefault="008213B3" w:rsidP="00CB10A4">
      <w:pPr>
        <w:spacing w:after="0" w:line="240" w:lineRule="auto"/>
        <w:rPr>
          <w:rFonts w:ascii="Arial" w:eastAsia="+mn-ea" w:hAnsi="Arial" w:cs="Arial"/>
          <w:color w:val="000000"/>
          <w:lang w:eastAsia="en-GB"/>
        </w:rPr>
      </w:pPr>
      <w:r w:rsidRPr="00C6115D">
        <w:rPr>
          <w:rFonts w:ascii="Arial" w:hAnsi="Arial" w:cs="Arial"/>
          <w:bCs/>
        </w:rPr>
        <w:t xml:space="preserve">Our overall objective is to ensure that we report information that is </w:t>
      </w:r>
      <w:r w:rsidRPr="00C6115D">
        <w:rPr>
          <w:rFonts w:ascii="Arial" w:hAnsi="Arial" w:cs="Arial"/>
        </w:rPr>
        <w:t xml:space="preserve">relevant, reliable, complete, accurate and timely.  </w:t>
      </w:r>
      <w:r w:rsidRPr="00C6115D">
        <w:rPr>
          <w:rFonts w:ascii="Arial" w:hAnsi="Arial" w:cs="Arial"/>
          <w:color w:val="000000" w:themeColor="text1"/>
        </w:rPr>
        <w:t>When we consider how much data assurance we are likely to need we a</w:t>
      </w:r>
      <w:r w:rsidRPr="00C6115D">
        <w:rPr>
          <w:rFonts w:ascii="Arial" w:eastAsia="+mn-ea" w:hAnsi="Arial" w:cs="Arial"/>
          <w:color w:val="000000"/>
          <w:lang w:eastAsia="en-GB"/>
        </w:rPr>
        <w:t>ssess the risk that the data we report contains errors or is materially mis</w:t>
      </w:r>
      <w:r w:rsidR="00C6115D">
        <w:rPr>
          <w:rFonts w:ascii="Arial" w:eastAsia="+mn-ea" w:hAnsi="Arial" w:cs="Arial"/>
          <w:color w:val="000000"/>
          <w:lang w:eastAsia="en-GB"/>
        </w:rPr>
        <w:t>-</w:t>
      </w:r>
      <w:r w:rsidR="009B74E9" w:rsidRPr="00C6115D">
        <w:rPr>
          <w:rFonts w:ascii="Arial" w:eastAsia="+mn-ea" w:hAnsi="Arial" w:cs="Arial"/>
          <w:color w:val="000000"/>
          <w:lang w:eastAsia="en-GB"/>
        </w:rPr>
        <w:t>stated</w:t>
      </w:r>
      <w:r w:rsidR="009B74E9">
        <w:rPr>
          <w:rFonts w:ascii="Arial" w:eastAsia="+mn-ea" w:hAnsi="Arial" w:cs="Arial"/>
          <w:color w:val="000000"/>
          <w:lang w:eastAsia="en-GB"/>
        </w:rPr>
        <w:t>.</w:t>
      </w:r>
    </w:p>
    <w:p w:rsidR="00533F28" w:rsidRDefault="00533F28" w:rsidP="00CB10A4">
      <w:pPr>
        <w:spacing w:after="0" w:line="240" w:lineRule="auto"/>
        <w:rPr>
          <w:rFonts w:ascii="Arial" w:eastAsia="+mn-ea" w:hAnsi="Arial" w:cs="Arial"/>
          <w:color w:val="000000"/>
          <w:lang w:eastAsia="en-GB"/>
        </w:rPr>
      </w:pPr>
    </w:p>
    <w:p w:rsidR="00A71052" w:rsidRDefault="008213B3" w:rsidP="00CB10A4">
      <w:pPr>
        <w:spacing w:after="0" w:line="240" w:lineRule="auto"/>
        <w:rPr>
          <w:rFonts w:ascii="Arial" w:eastAsia="Times New Roman" w:hAnsi="Arial" w:cs="Arial"/>
          <w:lang w:eastAsia="en-GB"/>
        </w:rPr>
      </w:pPr>
      <w:r w:rsidRPr="00C6115D">
        <w:rPr>
          <w:rFonts w:ascii="Arial" w:eastAsia="+mn-ea" w:hAnsi="Arial" w:cs="Arial"/>
          <w:color w:val="000000"/>
          <w:lang w:eastAsia="en-GB"/>
        </w:rPr>
        <w:t xml:space="preserve">To do this we look at the different types of data that we report and consider </w:t>
      </w:r>
      <w:r w:rsidRPr="00C6115D">
        <w:rPr>
          <w:rFonts w:ascii="Arial" w:hAnsi="Arial" w:cs="Arial"/>
        </w:rPr>
        <w:t>what might cause errors or omissions in that data</w:t>
      </w:r>
      <w:r w:rsidR="004050C0" w:rsidRPr="00C6115D">
        <w:rPr>
          <w:rFonts w:ascii="Arial" w:hAnsi="Arial" w:cs="Arial"/>
        </w:rPr>
        <w:t>; we assess the risk of that data</w:t>
      </w:r>
      <w:r w:rsidR="00E0041B" w:rsidRPr="00C6115D">
        <w:rPr>
          <w:rFonts w:ascii="Arial" w:hAnsi="Arial" w:cs="Arial"/>
        </w:rPr>
        <w:t xml:space="preserve"> not reflecting actual performance</w:t>
      </w:r>
      <w:r w:rsidRPr="00C6115D">
        <w:rPr>
          <w:rFonts w:ascii="Arial" w:hAnsi="Arial" w:cs="Arial"/>
        </w:rPr>
        <w:t>.</w:t>
      </w:r>
      <w:r w:rsidRPr="00C6115D">
        <w:rPr>
          <w:rFonts w:ascii="Arial" w:eastAsia="Times New Roman" w:hAnsi="Arial" w:cs="Arial"/>
          <w:lang w:eastAsia="en-GB"/>
        </w:rPr>
        <w:t xml:space="preserve">  </w:t>
      </w:r>
    </w:p>
    <w:p w:rsidR="00A71052" w:rsidRDefault="00A71052" w:rsidP="00CB10A4">
      <w:pPr>
        <w:spacing w:after="0" w:line="240" w:lineRule="auto"/>
        <w:rPr>
          <w:rFonts w:ascii="Arial" w:eastAsia="Times New Roman" w:hAnsi="Arial" w:cs="Arial"/>
          <w:lang w:eastAsia="en-GB"/>
        </w:rPr>
      </w:pPr>
    </w:p>
    <w:p w:rsidR="003E777E" w:rsidRPr="00C6115D" w:rsidRDefault="003E777E" w:rsidP="00CB10A4">
      <w:pPr>
        <w:spacing w:after="0" w:line="240" w:lineRule="auto"/>
        <w:rPr>
          <w:rFonts w:ascii="Arial" w:eastAsia="Times New Roman" w:hAnsi="Arial" w:cs="Arial"/>
          <w:lang w:eastAsia="en-GB"/>
        </w:rPr>
      </w:pPr>
      <w:r w:rsidRPr="00C6115D">
        <w:rPr>
          <w:rFonts w:ascii="Arial" w:hAnsi="Arial" w:cs="Arial"/>
        </w:rPr>
        <w:t>The steps involved in the process are set out in the diagram below.</w:t>
      </w:r>
    </w:p>
    <w:p w:rsidR="003E777E" w:rsidRPr="00C6115D" w:rsidRDefault="003E777E" w:rsidP="003E777E">
      <w:pPr>
        <w:autoSpaceDE w:val="0"/>
        <w:autoSpaceDN w:val="0"/>
        <w:adjustRightInd w:val="0"/>
        <w:spacing w:after="0" w:line="240" w:lineRule="auto"/>
        <w:rPr>
          <w:rFonts w:ascii="Arial" w:hAnsi="Arial" w:cs="Arial"/>
        </w:rPr>
      </w:pPr>
    </w:p>
    <w:p w:rsidR="003E777E" w:rsidRPr="00C6115D" w:rsidRDefault="003E777E" w:rsidP="003E777E">
      <w:pPr>
        <w:autoSpaceDE w:val="0"/>
        <w:autoSpaceDN w:val="0"/>
        <w:adjustRightInd w:val="0"/>
        <w:spacing w:after="0" w:line="240" w:lineRule="auto"/>
        <w:rPr>
          <w:rFonts w:ascii="Arial" w:hAnsi="Arial" w:cs="Arial"/>
        </w:rPr>
      </w:pPr>
      <w:r w:rsidRPr="00C6115D">
        <w:rPr>
          <w:rFonts w:ascii="Arial" w:hAnsi="Arial" w:cs="Arial"/>
          <w:noProof/>
          <w:lang w:eastAsia="en-GB"/>
        </w:rPr>
        <w:drawing>
          <wp:inline distT="0" distB="0" distL="0" distR="0">
            <wp:extent cx="5438775" cy="1876425"/>
            <wp:effectExtent l="0" t="0" r="9525" b="476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E777E" w:rsidRPr="00C6115D" w:rsidRDefault="003E777E" w:rsidP="003E777E">
      <w:pPr>
        <w:autoSpaceDE w:val="0"/>
        <w:autoSpaceDN w:val="0"/>
        <w:adjustRightInd w:val="0"/>
        <w:spacing w:after="0" w:line="240" w:lineRule="auto"/>
        <w:rPr>
          <w:rFonts w:ascii="Arial" w:hAnsi="Arial" w:cs="Arial"/>
        </w:rPr>
      </w:pPr>
    </w:p>
    <w:p w:rsidR="00BA196D" w:rsidRDefault="004050C0" w:rsidP="00CB10A4">
      <w:pPr>
        <w:autoSpaceDE w:val="0"/>
        <w:autoSpaceDN w:val="0"/>
        <w:adjustRightInd w:val="0"/>
        <w:spacing w:after="0" w:line="240" w:lineRule="auto"/>
        <w:rPr>
          <w:rFonts w:ascii="Arial" w:hAnsi="Arial" w:cs="Arial"/>
        </w:rPr>
      </w:pPr>
      <w:r w:rsidRPr="00C6115D">
        <w:rPr>
          <w:rFonts w:ascii="Arial" w:hAnsi="Arial" w:cs="Arial"/>
        </w:rPr>
        <w:t xml:space="preserve">During the period we have been through an extensive process to plan how we would get the right levels of Data Assurance.  </w:t>
      </w:r>
      <w:r w:rsidR="005505DD">
        <w:rPr>
          <w:rFonts w:ascii="Arial" w:hAnsi="Arial" w:cs="Arial"/>
        </w:rPr>
        <w:t>This has built upon the process that we established and reported on in 2015/16</w:t>
      </w:r>
      <w:r w:rsidR="003F68A2">
        <w:rPr>
          <w:rFonts w:ascii="Arial" w:hAnsi="Arial" w:cs="Arial"/>
        </w:rPr>
        <w:t xml:space="preserve"> and 2016/17</w:t>
      </w:r>
      <w:r w:rsidR="005505DD">
        <w:rPr>
          <w:rFonts w:ascii="Arial" w:hAnsi="Arial" w:cs="Arial"/>
        </w:rPr>
        <w:t xml:space="preserve">.  </w:t>
      </w:r>
      <w:r w:rsidRPr="00C6115D">
        <w:rPr>
          <w:rFonts w:ascii="Arial" w:hAnsi="Arial" w:cs="Arial"/>
        </w:rPr>
        <w:t xml:space="preserve">Data Assurance activities include both those performed by the Company and by </w:t>
      </w:r>
      <w:r w:rsidR="00D23C71">
        <w:rPr>
          <w:rFonts w:ascii="Arial" w:hAnsi="Arial" w:cs="Arial"/>
        </w:rPr>
        <w:t xml:space="preserve">independent </w:t>
      </w:r>
      <w:r w:rsidRPr="00C6115D">
        <w:rPr>
          <w:rFonts w:ascii="Arial" w:hAnsi="Arial" w:cs="Arial"/>
        </w:rPr>
        <w:t xml:space="preserve">external parties. </w:t>
      </w:r>
      <w:r w:rsidR="00ED4821" w:rsidRPr="00C6115D">
        <w:rPr>
          <w:rFonts w:ascii="Arial" w:hAnsi="Arial" w:cs="Arial"/>
        </w:rPr>
        <w:t xml:space="preserve"> </w:t>
      </w:r>
      <w:r w:rsidR="00EB6CA3">
        <w:rPr>
          <w:rFonts w:ascii="Arial" w:hAnsi="Arial" w:cs="Arial"/>
        </w:rPr>
        <w:t xml:space="preserve">As we noted in Section 1 we also </w:t>
      </w:r>
      <w:r w:rsidR="00EB6CA3">
        <w:rPr>
          <w:rFonts w:ascii="Arial" w:hAnsi="Arial" w:cs="Arial"/>
        </w:rPr>
        <w:lastRenderedPageBreak/>
        <w:t>complete work to ensure that he overall information provided tells a balanced, understandable and consistent message.</w:t>
      </w:r>
    </w:p>
    <w:p w:rsidR="00BA196D" w:rsidRDefault="00BA196D" w:rsidP="00CB10A4">
      <w:pPr>
        <w:autoSpaceDE w:val="0"/>
        <w:autoSpaceDN w:val="0"/>
        <w:adjustRightInd w:val="0"/>
        <w:spacing w:after="0" w:line="240" w:lineRule="auto"/>
        <w:rPr>
          <w:rFonts w:ascii="Arial" w:hAnsi="Arial" w:cs="Arial"/>
        </w:rPr>
      </w:pPr>
    </w:p>
    <w:p w:rsidR="003E777E" w:rsidRPr="00C6115D" w:rsidRDefault="00ED4821" w:rsidP="00CB10A4">
      <w:pPr>
        <w:autoSpaceDE w:val="0"/>
        <w:autoSpaceDN w:val="0"/>
        <w:adjustRightInd w:val="0"/>
        <w:spacing w:after="0" w:line="240" w:lineRule="auto"/>
        <w:rPr>
          <w:rFonts w:ascii="Arial" w:hAnsi="Arial" w:cs="Arial"/>
        </w:rPr>
      </w:pPr>
      <w:r w:rsidRPr="00C6115D">
        <w:rPr>
          <w:rFonts w:ascii="Arial" w:hAnsi="Arial" w:cs="Arial"/>
        </w:rPr>
        <w:t>For operational (non-financial)</w:t>
      </w:r>
      <w:r w:rsidR="004050C0" w:rsidRPr="00C6115D">
        <w:rPr>
          <w:rFonts w:ascii="Arial" w:hAnsi="Arial" w:cs="Arial"/>
        </w:rPr>
        <w:t xml:space="preserve"> data we have </w:t>
      </w:r>
      <w:r w:rsidR="00E0041B" w:rsidRPr="00C6115D">
        <w:rPr>
          <w:rFonts w:ascii="Arial" w:hAnsi="Arial" w:cs="Arial"/>
        </w:rPr>
        <w:t xml:space="preserve">achieved </w:t>
      </w:r>
      <w:r w:rsidR="004050C0" w:rsidRPr="00C6115D">
        <w:rPr>
          <w:rFonts w:ascii="Arial" w:hAnsi="Arial" w:cs="Arial"/>
        </w:rPr>
        <w:t xml:space="preserve">this through a process of publishing and consulting on our approach as part of </w:t>
      </w:r>
      <w:r w:rsidR="00E0041B" w:rsidRPr="00C6115D">
        <w:rPr>
          <w:rFonts w:ascii="Arial" w:hAnsi="Arial" w:cs="Arial"/>
        </w:rPr>
        <w:t xml:space="preserve">our </w:t>
      </w:r>
      <w:r w:rsidR="004050C0" w:rsidRPr="00C6115D">
        <w:rPr>
          <w:rFonts w:ascii="Arial" w:hAnsi="Arial" w:cs="Arial"/>
        </w:rPr>
        <w:t>Company Monitoring Framework.  For financial data (such as our Annual Report &amp; Accounts and the financial elements of the Annual Performance Report) this is covered by the regulatory standards set out for Auditors</w:t>
      </w:r>
      <w:r w:rsidR="00EB6CA3">
        <w:rPr>
          <w:rFonts w:ascii="Arial" w:hAnsi="Arial" w:cs="Arial"/>
        </w:rPr>
        <w:t xml:space="preserve"> together with the Regulatory Accounting Guidelines published by Ofwat</w:t>
      </w:r>
      <w:r w:rsidR="004050C0" w:rsidRPr="00C6115D">
        <w:rPr>
          <w:rFonts w:ascii="Arial" w:hAnsi="Arial" w:cs="Arial"/>
        </w:rPr>
        <w:t>.</w:t>
      </w:r>
    </w:p>
    <w:p w:rsidR="00ED4821" w:rsidRPr="00C6115D" w:rsidRDefault="00ED4821" w:rsidP="00CB10A4">
      <w:pPr>
        <w:autoSpaceDE w:val="0"/>
        <w:autoSpaceDN w:val="0"/>
        <w:adjustRightInd w:val="0"/>
        <w:spacing w:after="0" w:line="240" w:lineRule="auto"/>
        <w:rPr>
          <w:rFonts w:ascii="Arial" w:hAnsi="Arial" w:cs="Arial"/>
        </w:rPr>
      </w:pPr>
    </w:p>
    <w:p w:rsidR="00E0041B" w:rsidRPr="00C6115D" w:rsidRDefault="00E0041B" w:rsidP="00CB10A4">
      <w:pPr>
        <w:autoSpaceDE w:val="0"/>
        <w:autoSpaceDN w:val="0"/>
        <w:adjustRightInd w:val="0"/>
        <w:spacing w:after="0" w:line="240" w:lineRule="auto"/>
        <w:rPr>
          <w:rFonts w:ascii="Arial" w:hAnsi="Arial" w:cs="Arial"/>
        </w:rPr>
      </w:pPr>
      <w:r w:rsidRPr="00C6115D">
        <w:rPr>
          <w:rFonts w:ascii="Arial" w:hAnsi="Arial" w:cs="Arial"/>
        </w:rPr>
        <w:t>The Company consulted with stakeholders on the following three documents:-</w:t>
      </w:r>
    </w:p>
    <w:p w:rsidR="00E0041B" w:rsidRPr="00C6115D" w:rsidRDefault="00E0041B" w:rsidP="00CB10A4">
      <w:pPr>
        <w:autoSpaceDE w:val="0"/>
        <w:autoSpaceDN w:val="0"/>
        <w:adjustRightInd w:val="0"/>
        <w:spacing w:after="0" w:line="240" w:lineRule="auto"/>
        <w:rPr>
          <w:rFonts w:ascii="Arial" w:hAnsi="Arial" w:cs="Arial"/>
        </w:rPr>
      </w:pPr>
    </w:p>
    <w:p w:rsidR="00E0041B" w:rsidRPr="00C6115D" w:rsidRDefault="00E0041B" w:rsidP="00CB10A4">
      <w:pPr>
        <w:autoSpaceDE w:val="0"/>
        <w:autoSpaceDN w:val="0"/>
        <w:adjustRightInd w:val="0"/>
        <w:spacing w:after="0" w:line="240" w:lineRule="auto"/>
        <w:ind w:left="720"/>
        <w:rPr>
          <w:rFonts w:ascii="Arial" w:hAnsi="Arial" w:cs="Arial"/>
        </w:rPr>
      </w:pPr>
      <w:r w:rsidRPr="00C6115D">
        <w:rPr>
          <w:rFonts w:ascii="Arial" w:hAnsi="Arial" w:cs="Arial"/>
        </w:rPr>
        <w:t>a) Statement of Risks, Strengths and Weaknesses of our data was published on 30 November 201</w:t>
      </w:r>
      <w:r w:rsidR="003F68A2">
        <w:rPr>
          <w:rFonts w:ascii="Arial" w:hAnsi="Arial" w:cs="Arial"/>
        </w:rPr>
        <w:t>7</w:t>
      </w:r>
      <w:r w:rsidRPr="00C6115D">
        <w:rPr>
          <w:rFonts w:ascii="Arial" w:hAnsi="Arial" w:cs="Arial"/>
        </w:rPr>
        <w:t>.  It described our assessment of the data we collect and publish.  Stakeholders generally supported our assessment and we responded to any challenges by reviewing and revising our assessments</w:t>
      </w:r>
      <w:r w:rsidR="00EB6CA3">
        <w:rPr>
          <w:rFonts w:ascii="Arial" w:hAnsi="Arial" w:cs="Arial"/>
        </w:rPr>
        <w:t xml:space="preserve"> accordingly</w:t>
      </w:r>
      <w:r w:rsidRPr="00C6115D">
        <w:rPr>
          <w:rFonts w:ascii="Arial" w:hAnsi="Arial" w:cs="Arial"/>
        </w:rPr>
        <w:t>.</w:t>
      </w:r>
    </w:p>
    <w:p w:rsidR="00E0041B" w:rsidRPr="00C6115D" w:rsidRDefault="00E0041B" w:rsidP="00CB10A4">
      <w:pPr>
        <w:autoSpaceDE w:val="0"/>
        <w:autoSpaceDN w:val="0"/>
        <w:adjustRightInd w:val="0"/>
        <w:spacing w:after="0" w:line="240" w:lineRule="auto"/>
        <w:ind w:left="720"/>
        <w:rPr>
          <w:rFonts w:ascii="Arial" w:hAnsi="Arial" w:cs="Arial"/>
        </w:rPr>
      </w:pPr>
    </w:p>
    <w:p w:rsidR="00E0041B" w:rsidRPr="00C6115D" w:rsidRDefault="00E0041B" w:rsidP="00CB10A4">
      <w:pPr>
        <w:autoSpaceDE w:val="0"/>
        <w:autoSpaceDN w:val="0"/>
        <w:adjustRightInd w:val="0"/>
        <w:spacing w:after="0" w:line="240" w:lineRule="auto"/>
        <w:ind w:left="720"/>
        <w:rPr>
          <w:rFonts w:ascii="Arial" w:hAnsi="Arial" w:cs="Arial"/>
        </w:rPr>
      </w:pPr>
      <w:r w:rsidRPr="009914AA">
        <w:rPr>
          <w:rFonts w:ascii="Arial" w:hAnsi="Arial" w:cs="Arial"/>
        </w:rPr>
        <w:t>b) Draft Audit Plan was published on 1</w:t>
      </w:r>
      <w:r w:rsidR="009914AA" w:rsidRPr="009914AA">
        <w:rPr>
          <w:rFonts w:ascii="Arial" w:hAnsi="Arial" w:cs="Arial"/>
        </w:rPr>
        <w:t xml:space="preserve"> March 2018 </w:t>
      </w:r>
      <w:r w:rsidRPr="009914AA">
        <w:rPr>
          <w:rFonts w:ascii="Arial" w:hAnsi="Arial" w:cs="Arial"/>
        </w:rPr>
        <w:t>and described our detailed</w:t>
      </w:r>
      <w:r w:rsidRPr="00C6115D">
        <w:rPr>
          <w:rFonts w:ascii="Arial" w:hAnsi="Arial" w:cs="Arial"/>
        </w:rPr>
        <w:t xml:space="preserve"> approach to data assurance in light of feedback from (a) above.</w:t>
      </w:r>
    </w:p>
    <w:p w:rsidR="00E0041B" w:rsidRPr="00C6115D" w:rsidRDefault="00E0041B" w:rsidP="00CB10A4">
      <w:pPr>
        <w:autoSpaceDE w:val="0"/>
        <w:autoSpaceDN w:val="0"/>
        <w:adjustRightInd w:val="0"/>
        <w:spacing w:after="0" w:line="240" w:lineRule="auto"/>
        <w:ind w:left="720"/>
        <w:rPr>
          <w:rFonts w:ascii="Arial" w:hAnsi="Arial" w:cs="Arial"/>
        </w:rPr>
      </w:pPr>
    </w:p>
    <w:p w:rsidR="00E0041B" w:rsidRPr="00C6115D" w:rsidRDefault="00E0041B" w:rsidP="00CB10A4">
      <w:pPr>
        <w:autoSpaceDE w:val="0"/>
        <w:autoSpaceDN w:val="0"/>
        <w:adjustRightInd w:val="0"/>
        <w:spacing w:after="0" w:line="240" w:lineRule="auto"/>
        <w:ind w:left="720"/>
        <w:rPr>
          <w:rFonts w:ascii="Arial" w:hAnsi="Arial" w:cs="Arial"/>
        </w:rPr>
      </w:pPr>
      <w:r w:rsidRPr="00C6115D">
        <w:rPr>
          <w:rFonts w:ascii="Arial" w:hAnsi="Arial" w:cs="Arial"/>
        </w:rPr>
        <w:t xml:space="preserve">c) Final Audit Plan was published on </w:t>
      </w:r>
      <w:r w:rsidR="005505DD" w:rsidRPr="009914AA">
        <w:rPr>
          <w:rFonts w:ascii="Arial" w:hAnsi="Arial" w:cs="Arial"/>
        </w:rPr>
        <w:t xml:space="preserve">4 </w:t>
      </w:r>
      <w:r w:rsidR="009914AA">
        <w:rPr>
          <w:rFonts w:ascii="Arial" w:hAnsi="Arial" w:cs="Arial"/>
        </w:rPr>
        <w:t>April 2018</w:t>
      </w:r>
      <w:r w:rsidR="00723A6B">
        <w:rPr>
          <w:rFonts w:ascii="Arial" w:hAnsi="Arial" w:cs="Arial"/>
        </w:rPr>
        <w:t xml:space="preserve"> </w:t>
      </w:r>
      <w:r w:rsidR="008113EB" w:rsidRPr="00C6115D">
        <w:rPr>
          <w:rFonts w:ascii="Arial" w:hAnsi="Arial" w:cs="Arial"/>
        </w:rPr>
        <w:t>and reflected stakeholder feedback and Board approval.</w:t>
      </w:r>
    </w:p>
    <w:p w:rsidR="00E0041B" w:rsidRPr="00C6115D" w:rsidRDefault="00E0041B" w:rsidP="00CB10A4">
      <w:pPr>
        <w:autoSpaceDE w:val="0"/>
        <w:autoSpaceDN w:val="0"/>
        <w:adjustRightInd w:val="0"/>
        <w:spacing w:after="0" w:line="240" w:lineRule="auto"/>
        <w:rPr>
          <w:rFonts w:ascii="Arial" w:hAnsi="Arial" w:cs="Arial"/>
        </w:rPr>
      </w:pPr>
    </w:p>
    <w:p w:rsidR="00ED4821" w:rsidRDefault="00ED4821" w:rsidP="00CB10A4">
      <w:pPr>
        <w:autoSpaceDE w:val="0"/>
        <w:autoSpaceDN w:val="0"/>
        <w:adjustRightInd w:val="0"/>
        <w:spacing w:after="0" w:line="240" w:lineRule="auto"/>
        <w:rPr>
          <w:rFonts w:ascii="Arial" w:hAnsi="Arial" w:cs="Arial"/>
        </w:rPr>
      </w:pPr>
      <w:r w:rsidRPr="00C6115D">
        <w:rPr>
          <w:rFonts w:ascii="Arial" w:hAnsi="Arial" w:cs="Arial"/>
        </w:rPr>
        <w:t>As a result of this planning process, together with our external data assurance providers</w:t>
      </w:r>
      <w:r w:rsidR="00B00974">
        <w:rPr>
          <w:rFonts w:ascii="Arial" w:hAnsi="Arial" w:cs="Arial"/>
        </w:rPr>
        <w:t>,</w:t>
      </w:r>
      <w:r w:rsidR="008113EB" w:rsidRPr="00C6115D">
        <w:rPr>
          <w:rFonts w:ascii="Arial" w:hAnsi="Arial" w:cs="Arial"/>
        </w:rPr>
        <w:t xml:space="preserve"> </w:t>
      </w:r>
      <w:r w:rsidRPr="00C6115D">
        <w:rPr>
          <w:rFonts w:ascii="Arial" w:hAnsi="Arial" w:cs="Arial"/>
        </w:rPr>
        <w:t xml:space="preserve">we </w:t>
      </w:r>
      <w:r w:rsidR="008113EB" w:rsidRPr="00C6115D">
        <w:rPr>
          <w:rFonts w:ascii="Arial" w:hAnsi="Arial" w:cs="Arial"/>
        </w:rPr>
        <w:t xml:space="preserve">have </w:t>
      </w:r>
      <w:r w:rsidRPr="00C6115D">
        <w:rPr>
          <w:rFonts w:ascii="Arial" w:hAnsi="Arial" w:cs="Arial"/>
        </w:rPr>
        <w:t xml:space="preserve">developed an approach to Data Assurance </w:t>
      </w:r>
      <w:r w:rsidRPr="00C6115D">
        <w:rPr>
          <w:rFonts w:ascii="Arial" w:hAnsi="Arial" w:cs="Arial"/>
        </w:rPr>
        <w:lastRenderedPageBreak/>
        <w:t xml:space="preserve">based on a combination of internal and external activities.  This approach was considered, challenged and ultimately approved by the Audit Committee and the Board </w:t>
      </w:r>
      <w:r w:rsidR="008113EB" w:rsidRPr="00C6115D">
        <w:rPr>
          <w:rFonts w:ascii="Arial" w:hAnsi="Arial" w:cs="Arial"/>
        </w:rPr>
        <w:t>i</w:t>
      </w:r>
      <w:r w:rsidRPr="00C6115D">
        <w:rPr>
          <w:rFonts w:ascii="Arial" w:hAnsi="Arial" w:cs="Arial"/>
        </w:rPr>
        <w:t>n</w:t>
      </w:r>
      <w:r w:rsidR="008113EB" w:rsidRPr="00C6115D">
        <w:rPr>
          <w:rFonts w:ascii="Arial" w:hAnsi="Arial" w:cs="Arial"/>
        </w:rPr>
        <w:t xml:space="preserve"> February 201</w:t>
      </w:r>
      <w:r w:rsidR="003F68A2">
        <w:rPr>
          <w:rFonts w:ascii="Arial" w:hAnsi="Arial" w:cs="Arial"/>
        </w:rPr>
        <w:t>8</w:t>
      </w:r>
      <w:r w:rsidR="00520B21" w:rsidRPr="00C6115D">
        <w:rPr>
          <w:rFonts w:ascii="Arial" w:hAnsi="Arial" w:cs="Arial"/>
        </w:rPr>
        <w:t>.</w:t>
      </w:r>
    </w:p>
    <w:p w:rsidR="00723A6B" w:rsidRDefault="00723A6B" w:rsidP="00CB10A4">
      <w:pPr>
        <w:autoSpaceDE w:val="0"/>
        <w:autoSpaceDN w:val="0"/>
        <w:adjustRightInd w:val="0"/>
        <w:spacing w:after="0" w:line="240" w:lineRule="auto"/>
        <w:rPr>
          <w:rFonts w:ascii="Arial" w:hAnsi="Arial" w:cs="Arial"/>
        </w:rPr>
      </w:pPr>
    </w:p>
    <w:p w:rsidR="00723A6B" w:rsidRDefault="00723A6B" w:rsidP="00CB10A4">
      <w:pPr>
        <w:autoSpaceDE w:val="0"/>
        <w:autoSpaceDN w:val="0"/>
        <w:adjustRightInd w:val="0"/>
        <w:spacing w:after="0" w:line="240" w:lineRule="auto"/>
        <w:rPr>
          <w:rFonts w:ascii="Arial" w:hAnsi="Arial" w:cs="Arial"/>
        </w:rPr>
      </w:pPr>
      <w:r>
        <w:rPr>
          <w:rFonts w:ascii="Arial" w:hAnsi="Arial" w:cs="Arial"/>
        </w:rPr>
        <w:t xml:space="preserve">It should be noted that in some limited circumstances the assurance plan may need to be revised.  This is primarily where guidance, methodology or reporting requirements change.  In these instances any minor changes are considered and approved by the Finance and Regulation Director, who </w:t>
      </w:r>
      <w:r w:rsidR="00227F03">
        <w:rPr>
          <w:rFonts w:ascii="Arial" w:hAnsi="Arial" w:cs="Arial"/>
        </w:rPr>
        <w:t>has</w:t>
      </w:r>
      <w:r>
        <w:rPr>
          <w:rFonts w:ascii="Arial" w:hAnsi="Arial" w:cs="Arial"/>
        </w:rPr>
        <w:t xml:space="preserve"> an experienced assurance background.  Any more significant changes are approved by the Board.</w:t>
      </w:r>
    </w:p>
    <w:p w:rsidR="00723A6B" w:rsidRDefault="00723A6B" w:rsidP="00CB10A4">
      <w:pPr>
        <w:autoSpaceDE w:val="0"/>
        <w:autoSpaceDN w:val="0"/>
        <w:adjustRightInd w:val="0"/>
        <w:spacing w:after="0" w:line="240" w:lineRule="auto"/>
        <w:rPr>
          <w:rFonts w:ascii="Arial" w:hAnsi="Arial" w:cs="Arial"/>
        </w:rPr>
      </w:pPr>
    </w:p>
    <w:p w:rsidR="00723A6B" w:rsidRDefault="00723A6B" w:rsidP="00CB10A4">
      <w:pPr>
        <w:autoSpaceDE w:val="0"/>
        <w:autoSpaceDN w:val="0"/>
        <w:adjustRightInd w:val="0"/>
        <w:spacing w:after="0" w:line="240" w:lineRule="auto"/>
        <w:rPr>
          <w:rFonts w:ascii="Arial" w:hAnsi="Arial" w:cs="Arial"/>
        </w:rPr>
      </w:pPr>
      <w:r>
        <w:rPr>
          <w:rFonts w:ascii="Arial" w:hAnsi="Arial" w:cs="Arial"/>
        </w:rPr>
        <w:t>In relation to the 2017/18 assurance plan the following noteworthy revisions were made.</w:t>
      </w:r>
    </w:p>
    <w:p w:rsidR="00723A6B" w:rsidRDefault="00723A6B" w:rsidP="00CB10A4">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723A6B" w:rsidTr="00723A6B">
        <w:tc>
          <w:tcPr>
            <w:tcW w:w="3005" w:type="dxa"/>
          </w:tcPr>
          <w:p w:rsidR="00723A6B" w:rsidRPr="00AE12F8" w:rsidRDefault="00723A6B" w:rsidP="00CB10A4">
            <w:pPr>
              <w:autoSpaceDE w:val="0"/>
              <w:autoSpaceDN w:val="0"/>
              <w:adjustRightInd w:val="0"/>
              <w:rPr>
                <w:rFonts w:ascii="Arial" w:hAnsi="Arial" w:cs="Arial"/>
                <w:b/>
              </w:rPr>
            </w:pPr>
            <w:r w:rsidRPr="00AE12F8">
              <w:rPr>
                <w:rFonts w:ascii="Arial" w:hAnsi="Arial" w:cs="Arial"/>
                <w:b/>
              </w:rPr>
              <w:t>Area</w:t>
            </w:r>
          </w:p>
        </w:tc>
        <w:tc>
          <w:tcPr>
            <w:tcW w:w="3005" w:type="dxa"/>
          </w:tcPr>
          <w:p w:rsidR="00723A6B" w:rsidRPr="00AE12F8" w:rsidRDefault="00723A6B" w:rsidP="00CB10A4">
            <w:pPr>
              <w:autoSpaceDE w:val="0"/>
              <w:autoSpaceDN w:val="0"/>
              <w:adjustRightInd w:val="0"/>
              <w:rPr>
                <w:rFonts w:ascii="Arial" w:hAnsi="Arial" w:cs="Arial"/>
                <w:b/>
              </w:rPr>
            </w:pPr>
            <w:r w:rsidRPr="00AE12F8">
              <w:rPr>
                <w:rFonts w:ascii="Arial" w:hAnsi="Arial" w:cs="Arial"/>
                <w:b/>
              </w:rPr>
              <w:t>Reason</w:t>
            </w:r>
          </w:p>
        </w:tc>
        <w:tc>
          <w:tcPr>
            <w:tcW w:w="3006" w:type="dxa"/>
          </w:tcPr>
          <w:p w:rsidR="00723A6B" w:rsidRPr="00AE12F8" w:rsidRDefault="00723A6B" w:rsidP="00CB10A4">
            <w:pPr>
              <w:autoSpaceDE w:val="0"/>
              <w:autoSpaceDN w:val="0"/>
              <w:adjustRightInd w:val="0"/>
              <w:rPr>
                <w:rFonts w:ascii="Arial" w:hAnsi="Arial" w:cs="Arial"/>
                <w:b/>
              </w:rPr>
            </w:pPr>
            <w:r w:rsidRPr="00AE12F8">
              <w:rPr>
                <w:rFonts w:ascii="Arial" w:hAnsi="Arial" w:cs="Arial"/>
                <w:b/>
              </w:rPr>
              <w:t>Approach</w:t>
            </w:r>
          </w:p>
        </w:tc>
      </w:tr>
      <w:tr w:rsidR="00723A6B" w:rsidTr="00723A6B">
        <w:tc>
          <w:tcPr>
            <w:tcW w:w="3005" w:type="dxa"/>
          </w:tcPr>
          <w:p w:rsidR="00723A6B" w:rsidRDefault="00723A6B" w:rsidP="00CB10A4">
            <w:pPr>
              <w:autoSpaceDE w:val="0"/>
              <w:autoSpaceDN w:val="0"/>
              <w:adjustRightInd w:val="0"/>
              <w:rPr>
                <w:rFonts w:ascii="Arial" w:hAnsi="Arial" w:cs="Arial"/>
              </w:rPr>
            </w:pPr>
            <w:r>
              <w:rPr>
                <w:rFonts w:ascii="Arial" w:hAnsi="Arial" w:cs="Arial"/>
              </w:rPr>
              <w:t>Annual Performance Report</w:t>
            </w:r>
          </w:p>
          <w:p w:rsidR="00723A6B" w:rsidRDefault="00723A6B" w:rsidP="00CB10A4">
            <w:pPr>
              <w:autoSpaceDE w:val="0"/>
              <w:autoSpaceDN w:val="0"/>
              <w:adjustRightInd w:val="0"/>
              <w:rPr>
                <w:rFonts w:ascii="Arial" w:hAnsi="Arial" w:cs="Arial"/>
              </w:rPr>
            </w:pPr>
            <w:r>
              <w:rPr>
                <w:rFonts w:ascii="Arial" w:hAnsi="Arial" w:cs="Arial"/>
              </w:rPr>
              <w:t>Financial Flows Table 1F</w:t>
            </w:r>
          </w:p>
          <w:p w:rsidR="00723A6B" w:rsidRDefault="00723A6B" w:rsidP="00CB10A4">
            <w:pPr>
              <w:autoSpaceDE w:val="0"/>
              <w:autoSpaceDN w:val="0"/>
              <w:adjustRightInd w:val="0"/>
              <w:rPr>
                <w:rFonts w:ascii="Arial" w:hAnsi="Arial" w:cs="Arial"/>
              </w:rPr>
            </w:pPr>
          </w:p>
          <w:p w:rsidR="00723A6B" w:rsidRDefault="00723A6B" w:rsidP="00CB10A4">
            <w:pPr>
              <w:autoSpaceDE w:val="0"/>
              <w:autoSpaceDN w:val="0"/>
              <w:adjustRightInd w:val="0"/>
              <w:rPr>
                <w:rFonts w:ascii="Arial" w:hAnsi="Arial" w:cs="Arial"/>
              </w:rPr>
            </w:pPr>
          </w:p>
        </w:tc>
        <w:tc>
          <w:tcPr>
            <w:tcW w:w="3005" w:type="dxa"/>
          </w:tcPr>
          <w:p w:rsidR="00723A6B" w:rsidRDefault="00723A6B" w:rsidP="00CB10A4">
            <w:pPr>
              <w:autoSpaceDE w:val="0"/>
              <w:autoSpaceDN w:val="0"/>
              <w:adjustRightInd w:val="0"/>
              <w:rPr>
                <w:rFonts w:ascii="Arial" w:hAnsi="Arial" w:cs="Arial"/>
              </w:rPr>
            </w:pPr>
            <w:r>
              <w:rPr>
                <w:rFonts w:ascii="Arial" w:hAnsi="Arial" w:cs="Arial"/>
              </w:rPr>
              <w:t>New table published late in the planning cycle</w:t>
            </w:r>
          </w:p>
        </w:tc>
        <w:tc>
          <w:tcPr>
            <w:tcW w:w="3006" w:type="dxa"/>
          </w:tcPr>
          <w:p w:rsidR="00723A6B" w:rsidRDefault="00723A6B" w:rsidP="00CB10A4">
            <w:pPr>
              <w:autoSpaceDE w:val="0"/>
              <w:autoSpaceDN w:val="0"/>
              <w:adjustRightInd w:val="0"/>
              <w:rPr>
                <w:rFonts w:ascii="Arial" w:hAnsi="Arial" w:cs="Arial"/>
              </w:rPr>
            </w:pPr>
            <w:r>
              <w:rPr>
                <w:rFonts w:ascii="Arial" w:hAnsi="Arial" w:cs="Arial"/>
              </w:rPr>
              <w:t>Third party assurance by Financial Auditor</w:t>
            </w:r>
          </w:p>
        </w:tc>
      </w:tr>
      <w:tr w:rsidR="00723A6B" w:rsidTr="00723A6B">
        <w:tc>
          <w:tcPr>
            <w:tcW w:w="3005" w:type="dxa"/>
          </w:tcPr>
          <w:p w:rsidR="00723A6B" w:rsidRDefault="00723A6B" w:rsidP="00CB10A4">
            <w:pPr>
              <w:autoSpaceDE w:val="0"/>
              <w:autoSpaceDN w:val="0"/>
              <w:adjustRightInd w:val="0"/>
              <w:rPr>
                <w:rFonts w:ascii="Arial" w:hAnsi="Arial" w:cs="Arial"/>
              </w:rPr>
            </w:pPr>
          </w:p>
          <w:p w:rsidR="00723A6B" w:rsidRDefault="00AA4D92" w:rsidP="00CB10A4">
            <w:pPr>
              <w:autoSpaceDE w:val="0"/>
              <w:autoSpaceDN w:val="0"/>
              <w:adjustRightInd w:val="0"/>
              <w:rPr>
                <w:rFonts w:ascii="Arial" w:hAnsi="Arial" w:cs="Arial"/>
              </w:rPr>
            </w:pPr>
            <w:r>
              <w:rPr>
                <w:rFonts w:ascii="Arial" w:hAnsi="Arial" w:cs="Arial"/>
              </w:rPr>
              <w:t>Annual Performance Report – Shadow Reporting, Table 3S</w:t>
            </w:r>
          </w:p>
          <w:p w:rsidR="00723A6B" w:rsidRDefault="00723A6B" w:rsidP="00CB10A4">
            <w:pPr>
              <w:autoSpaceDE w:val="0"/>
              <w:autoSpaceDN w:val="0"/>
              <w:adjustRightInd w:val="0"/>
              <w:rPr>
                <w:rFonts w:ascii="Arial" w:hAnsi="Arial" w:cs="Arial"/>
              </w:rPr>
            </w:pPr>
          </w:p>
        </w:tc>
        <w:tc>
          <w:tcPr>
            <w:tcW w:w="3005" w:type="dxa"/>
          </w:tcPr>
          <w:p w:rsidR="00723A6B" w:rsidRDefault="00723A6B" w:rsidP="00CB10A4">
            <w:pPr>
              <w:autoSpaceDE w:val="0"/>
              <w:autoSpaceDN w:val="0"/>
              <w:adjustRightInd w:val="0"/>
              <w:rPr>
                <w:rFonts w:ascii="Arial" w:hAnsi="Arial" w:cs="Arial"/>
              </w:rPr>
            </w:pPr>
          </w:p>
          <w:p w:rsidR="00AA4D92" w:rsidRDefault="00AA4D92" w:rsidP="00CB10A4">
            <w:pPr>
              <w:autoSpaceDE w:val="0"/>
              <w:autoSpaceDN w:val="0"/>
              <w:adjustRightInd w:val="0"/>
              <w:rPr>
                <w:rFonts w:ascii="Arial" w:hAnsi="Arial" w:cs="Arial"/>
              </w:rPr>
            </w:pPr>
            <w:r>
              <w:rPr>
                <w:rFonts w:ascii="Arial" w:hAnsi="Arial" w:cs="Arial"/>
              </w:rPr>
              <w:t xml:space="preserve">The late requirement to </w:t>
            </w:r>
            <w:r w:rsidR="00B0167A">
              <w:rPr>
                <w:rFonts w:ascii="Arial" w:hAnsi="Arial" w:cs="Arial"/>
              </w:rPr>
              <w:t>include Shadow Reporting of all common PCs for 2017/18</w:t>
            </w:r>
          </w:p>
          <w:p w:rsidR="00AA4D92" w:rsidRDefault="00AA4D92" w:rsidP="00CB10A4">
            <w:pPr>
              <w:autoSpaceDE w:val="0"/>
              <w:autoSpaceDN w:val="0"/>
              <w:adjustRightInd w:val="0"/>
              <w:rPr>
                <w:rFonts w:ascii="Arial" w:hAnsi="Arial" w:cs="Arial"/>
              </w:rPr>
            </w:pPr>
          </w:p>
        </w:tc>
        <w:tc>
          <w:tcPr>
            <w:tcW w:w="3006" w:type="dxa"/>
          </w:tcPr>
          <w:p w:rsidR="00723A6B" w:rsidRDefault="00723A6B" w:rsidP="00CB10A4">
            <w:pPr>
              <w:autoSpaceDE w:val="0"/>
              <w:autoSpaceDN w:val="0"/>
              <w:adjustRightInd w:val="0"/>
              <w:rPr>
                <w:rFonts w:ascii="Arial" w:hAnsi="Arial" w:cs="Arial"/>
              </w:rPr>
            </w:pPr>
          </w:p>
          <w:p w:rsidR="00AA4D92" w:rsidRDefault="00B0167A" w:rsidP="00CB10A4">
            <w:pPr>
              <w:autoSpaceDE w:val="0"/>
              <w:autoSpaceDN w:val="0"/>
              <w:adjustRightInd w:val="0"/>
              <w:rPr>
                <w:rFonts w:ascii="Arial" w:hAnsi="Arial" w:cs="Arial"/>
              </w:rPr>
            </w:pPr>
            <w:r>
              <w:rPr>
                <w:rFonts w:ascii="Arial" w:hAnsi="Arial" w:cs="Arial"/>
              </w:rPr>
              <w:t>Third party assurance by Reporter</w:t>
            </w:r>
          </w:p>
        </w:tc>
      </w:tr>
      <w:tr w:rsidR="00723A6B" w:rsidTr="00723A6B">
        <w:tc>
          <w:tcPr>
            <w:tcW w:w="3005" w:type="dxa"/>
          </w:tcPr>
          <w:p w:rsidR="00723A6B" w:rsidRDefault="00723A6B" w:rsidP="00CB10A4">
            <w:pPr>
              <w:autoSpaceDE w:val="0"/>
              <w:autoSpaceDN w:val="0"/>
              <w:adjustRightInd w:val="0"/>
              <w:rPr>
                <w:rFonts w:ascii="Arial" w:hAnsi="Arial" w:cs="Arial"/>
              </w:rPr>
            </w:pPr>
          </w:p>
          <w:p w:rsidR="00723A6B" w:rsidRDefault="00F76F8F" w:rsidP="00CB10A4">
            <w:pPr>
              <w:autoSpaceDE w:val="0"/>
              <w:autoSpaceDN w:val="0"/>
              <w:adjustRightInd w:val="0"/>
              <w:rPr>
                <w:rFonts w:ascii="Arial" w:hAnsi="Arial" w:cs="Arial"/>
              </w:rPr>
            </w:pPr>
            <w:r>
              <w:rPr>
                <w:rFonts w:ascii="Arial" w:hAnsi="Arial" w:cs="Arial"/>
              </w:rPr>
              <w:t>Wholesale Cost Assessment</w:t>
            </w:r>
          </w:p>
          <w:p w:rsidR="00723A6B" w:rsidRDefault="00723A6B" w:rsidP="00CB10A4">
            <w:pPr>
              <w:autoSpaceDE w:val="0"/>
              <w:autoSpaceDN w:val="0"/>
              <w:adjustRightInd w:val="0"/>
              <w:rPr>
                <w:rFonts w:ascii="Arial" w:hAnsi="Arial" w:cs="Arial"/>
              </w:rPr>
            </w:pPr>
          </w:p>
          <w:p w:rsidR="00723A6B" w:rsidRDefault="00723A6B" w:rsidP="00CB10A4">
            <w:pPr>
              <w:autoSpaceDE w:val="0"/>
              <w:autoSpaceDN w:val="0"/>
              <w:adjustRightInd w:val="0"/>
              <w:rPr>
                <w:rFonts w:ascii="Arial" w:hAnsi="Arial" w:cs="Arial"/>
              </w:rPr>
            </w:pPr>
          </w:p>
        </w:tc>
        <w:tc>
          <w:tcPr>
            <w:tcW w:w="3005" w:type="dxa"/>
          </w:tcPr>
          <w:p w:rsidR="00723A6B" w:rsidRDefault="00723A6B" w:rsidP="00CB10A4">
            <w:pPr>
              <w:autoSpaceDE w:val="0"/>
              <w:autoSpaceDN w:val="0"/>
              <w:adjustRightInd w:val="0"/>
              <w:rPr>
                <w:rFonts w:ascii="Arial" w:hAnsi="Arial" w:cs="Arial"/>
              </w:rPr>
            </w:pPr>
          </w:p>
          <w:p w:rsidR="00F76F8F" w:rsidRDefault="00F76F8F" w:rsidP="00CB10A4">
            <w:pPr>
              <w:autoSpaceDE w:val="0"/>
              <w:autoSpaceDN w:val="0"/>
              <w:adjustRightInd w:val="0"/>
              <w:rPr>
                <w:rFonts w:ascii="Arial" w:hAnsi="Arial" w:cs="Arial"/>
              </w:rPr>
            </w:pPr>
            <w:r>
              <w:rPr>
                <w:rFonts w:ascii="Arial" w:hAnsi="Arial" w:cs="Arial"/>
              </w:rPr>
              <w:t>Explicitly included as part of the Annual Performance Report</w:t>
            </w:r>
          </w:p>
        </w:tc>
        <w:tc>
          <w:tcPr>
            <w:tcW w:w="3006" w:type="dxa"/>
          </w:tcPr>
          <w:p w:rsidR="00723A6B" w:rsidRDefault="00723A6B" w:rsidP="00CB10A4">
            <w:pPr>
              <w:autoSpaceDE w:val="0"/>
              <w:autoSpaceDN w:val="0"/>
              <w:adjustRightInd w:val="0"/>
              <w:rPr>
                <w:rFonts w:ascii="Arial" w:hAnsi="Arial" w:cs="Arial"/>
              </w:rPr>
            </w:pPr>
          </w:p>
          <w:p w:rsidR="00F76F8F" w:rsidRDefault="00F76F8F" w:rsidP="00CB10A4">
            <w:pPr>
              <w:autoSpaceDE w:val="0"/>
              <w:autoSpaceDN w:val="0"/>
              <w:adjustRightInd w:val="0"/>
              <w:rPr>
                <w:rFonts w:ascii="Arial" w:hAnsi="Arial" w:cs="Arial"/>
              </w:rPr>
            </w:pPr>
            <w:r>
              <w:rPr>
                <w:rFonts w:ascii="Arial" w:hAnsi="Arial" w:cs="Arial"/>
              </w:rPr>
              <w:t>Third party assurance by both Financial Auditor and Reporter.</w:t>
            </w:r>
          </w:p>
        </w:tc>
      </w:tr>
    </w:tbl>
    <w:p w:rsidR="00723A6B" w:rsidRPr="00C6115D" w:rsidRDefault="00723A6B" w:rsidP="00CB10A4">
      <w:pPr>
        <w:autoSpaceDE w:val="0"/>
        <w:autoSpaceDN w:val="0"/>
        <w:adjustRightInd w:val="0"/>
        <w:spacing w:after="0" w:line="240" w:lineRule="auto"/>
        <w:rPr>
          <w:rFonts w:ascii="Arial" w:hAnsi="Arial" w:cs="Arial"/>
        </w:rPr>
      </w:pPr>
    </w:p>
    <w:p w:rsidR="003E777E" w:rsidRPr="00C6115D" w:rsidRDefault="003E777E" w:rsidP="00CB10A4">
      <w:pPr>
        <w:spacing w:after="0"/>
        <w:rPr>
          <w:rFonts w:ascii="Arial" w:hAnsi="Arial" w:cs="Arial"/>
          <w:b/>
          <w:i/>
        </w:rPr>
      </w:pPr>
      <w:r w:rsidRPr="00C6115D">
        <w:rPr>
          <w:rFonts w:ascii="Arial" w:hAnsi="Arial" w:cs="Arial"/>
          <w:b/>
          <w:i/>
        </w:rPr>
        <w:t>Execution</w:t>
      </w:r>
    </w:p>
    <w:p w:rsidR="00ED4821" w:rsidRPr="00C6115D" w:rsidRDefault="00ED4821" w:rsidP="00CB10A4">
      <w:pPr>
        <w:pStyle w:val="ListParagraph"/>
        <w:spacing w:after="0"/>
        <w:ind w:left="0"/>
        <w:rPr>
          <w:rFonts w:ascii="Arial" w:hAnsi="Arial" w:cs="Arial"/>
        </w:rPr>
      </w:pPr>
      <w:r w:rsidRPr="00C6115D">
        <w:rPr>
          <w:rFonts w:ascii="Arial" w:hAnsi="Arial" w:cs="Arial"/>
        </w:rPr>
        <w:lastRenderedPageBreak/>
        <w:t>We have e</w:t>
      </w:r>
      <w:r w:rsidRPr="009914AA">
        <w:rPr>
          <w:rFonts w:ascii="Arial" w:hAnsi="Arial" w:cs="Arial"/>
        </w:rPr>
        <w:t xml:space="preserve">xecuted our Data Assurance </w:t>
      </w:r>
      <w:r w:rsidR="003E1EE1" w:rsidRPr="009914AA">
        <w:rPr>
          <w:rFonts w:ascii="Arial" w:hAnsi="Arial" w:cs="Arial"/>
        </w:rPr>
        <w:t xml:space="preserve">in accordance with the Final Audit Plan, published </w:t>
      </w:r>
      <w:r w:rsidR="005505DD" w:rsidRPr="009914AA">
        <w:rPr>
          <w:rFonts w:ascii="Arial" w:hAnsi="Arial" w:cs="Arial"/>
        </w:rPr>
        <w:t>4</w:t>
      </w:r>
      <w:r w:rsidR="008113EB" w:rsidRPr="009914AA">
        <w:rPr>
          <w:rFonts w:ascii="Arial" w:hAnsi="Arial" w:cs="Arial"/>
        </w:rPr>
        <w:t xml:space="preserve"> </w:t>
      </w:r>
      <w:r w:rsidR="009914AA" w:rsidRPr="009914AA">
        <w:rPr>
          <w:rFonts w:ascii="Arial" w:hAnsi="Arial" w:cs="Arial"/>
        </w:rPr>
        <w:t xml:space="preserve">April </w:t>
      </w:r>
      <w:r w:rsidR="003E1EE1" w:rsidRPr="009914AA">
        <w:rPr>
          <w:rFonts w:ascii="Arial" w:hAnsi="Arial" w:cs="Arial"/>
        </w:rPr>
        <w:t>201</w:t>
      </w:r>
      <w:r w:rsidR="009914AA" w:rsidRPr="009914AA">
        <w:rPr>
          <w:rFonts w:ascii="Arial" w:hAnsi="Arial" w:cs="Arial"/>
        </w:rPr>
        <w:t>8</w:t>
      </w:r>
      <w:r w:rsidR="003E1EE1" w:rsidRPr="009914AA">
        <w:rPr>
          <w:rFonts w:ascii="Arial" w:hAnsi="Arial" w:cs="Arial"/>
        </w:rPr>
        <w:t xml:space="preserve"> </w:t>
      </w:r>
      <w:r w:rsidRPr="009914AA">
        <w:rPr>
          <w:rFonts w:ascii="Arial" w:hAnsi="Arial" w:cs="Arial"/>
        </w:rPr>
        <w:t>a</w:t>
      </w:r>
      <w:r w:rsidR="003E1EE1" w:rsidRPr="009914AA">
        <w:rPr>
          <w:rFonts w:ascii="Arial" w:hAnsi="Arial" w:cs="Arial"/>
        </w:rPr>
        <w:t>nd our other legal audit requirements</w:t>
      </w:r>
      <w:r w:rsidRPr="009914AA">
        <w:rPr>
          <w:rFonts w:ascii="Arial" w:hAnsi="Arial" w:cs="Arial"/>
        </w:rPr>
        <w:t>.  We have summarised below the key</w:t>
      </w:r>
      <w:r w:rsidRPr="00C6115D">
        <w:rPr>
          <w:rFonts w:ascii="Arial" w:hAnsi="Arial" w:cs="Arial"/>
        </w:rPr>
        <w:t xml:space="preserve"> elements of this activity;</w:t>
      </w:r>
    </w:p>
    <w:p w:rsidR="00ED4821" w:rsidRPr="00C6115D" w:rsidRDefault="00ED4821" w:rsidP="00CB10A4">
      <w:pPr>
        <w:pStyle w:val="ListParagraph"/>
        <w:spacing w:after="0"/>
        <w:ind w:left="0"/>
        <w:rPr>
          <w:rFonts w:ascii="Arial" w:hAnsi="Arial" w:cs="Arial"/>
        </w:rPr>
      </w:pPr>
    </w:p>
    <w:p w:rsidR="00ED4821" w:rsidRPr="00C6115D" w:rsidRDefault="00ED4821" w:rsidP="00CB10A4">
      <w:pPr>
        <w:pStyle w:val="ListParagraph"/>
        <w:spacing w:after="0"/>
        <w:ind w:left="0"/>
        <w:rPr>
          <w:rFonts w:ascii="Arial" w:hAnsi="Arial" w:cs="Arial"/>
          <w:u w:val="single"/>
        </w:rPr>
      </w:pPr>
      <w:r w:rsidRPr="00C6115D">
        <w:rPr>
          <w:rFonts w:ascii="Arial" w:hAnsi="Arial" w:cs="Arial"/>
          <w:u w:val="single"/>
        </w:rPr>
        <w:t>Internal Data Assurance</w:t>
      </w:r>
    </w:p>
    <w:p w:rsidR="00ED4821" w:rsidRPr="00C6115D" w:rsidRDefault="005C09DA" w:rsidP="00CB10A4">
      <w:pPr>
        <w:pStyle w:val="ListParagraph"/>
        <w:spacing w:after="0"/>
        <w:ind w:left="0"/>
        <w:rPr>
          <w:rFonts w:ascii="Arial" w:hAnsi="Arial" w:cs="Arial"/>
        </w:rPr>
      </w:pPr>
      <w:r w:rsidRPr="00C6115D">
        <w:rPr>
          <w:rFonts w:ascii="Arial" w:hAnsi="Arial" w:cs="Arial"/>
        </w:rPr>
        <w:t xml:space="preserve">The Company </w:t>
      </w:r>
      <w:r w:rsidR="00C52E2D" w:rsidRPr="00C6115D">
        <w:rPr>
          <w:rFonts w:ascii="Arial" w:hAnsi="Arial" w:cs="Arial"/>
        </w:rPr>
        <w:t>has clear lines of</w:t>
      </w:r>
      <w:r w:rsidRPr="00C6115D">
        <w:rPr>
          <w:rFonts w:ascii="Arial" w:hAnsi="Arial" w:cs="Arial"/>
        </w:rPr>
        <w:t xml:space="preserve"> responsibility for ownership of data</w:t>
      </w:r>
      <w:r w:rsidR="00C52E2D" w:rsidRPr="00C6115D">
        <w:rPr>
          <w:rFonts w:ascii="Arial" w:hAnsi="Arial" w:cs="Arial"/>
        </w:rPr>
        <w:t>,</w:t>
      </w:r>
      <w:r w:rsidRPr="00C6115D">
        <w:rPr>
          <w:rFonts w:ascii="Arial" w:hAnsi="Arial" w:cs="Arial"/>
        </w:rPr>
        <w:t xml:space="preserve"> with data owners</w:t>
      </w:r>
      <w:r w:rsidR="003E1EE1" w:rsidRPr="00C6115D">
        <w:rPr>
          <w:rFonts w:ascii="Arial" w:hAnsi="Arial" w:cs="Arial"/>
        </w:rPr>
        <w:t xml:space="preserve"> </w:t>
      </w:r>
      <w:r w:rsidRPr="00C6115D">
        <w:rPr>
          <w:rFonts w:ascii="Arial" w:hAnsi="Arial" w:cs="Arial"/>
        </w:rPr>
        <w:t>being responsible for compiling</w:t>
      </w:r>
      <w:r w:rsidR="003E1EE1" w:rsidRPr="00C6115D">
        <w:rPr>
          <w:rFonts w:ascii="Arial" w:hAnsi="Arial" w:cs="Arial"/>
        </w:rPr>
        <w:t xml:space="preserve">, checking and reporting the data.  This is then subject to review, challenge and approval by a Senior Manager who in turn reports to a Director.  Finally all data tables are further reviewed by the Regulation Manager and </w:t>
      </w:r>
      <w:r w:rsidR="00C52E2D" w:rsidRPr="00C6115D">
        <w:rPr>
          <w:rFonts w:ascii="Arial" w:hAnsi="Arial" w:cs="Arial"/>
        </w:rPr>
        <w:t xml:space="preserve">the relevant </w:t>
      </w:r>
      <w:r w:rsidR="003E1EE1" w:rsidRPr="00C6115D">
        <w:rPr>
          <w:rFonts w:ascii="Arial" w:hAnsi="Arial" w:cs="Arial"/>
        </w:rPr>
        <w:t>Exe</w:t>
      </w:r>
      <w:r w:rsidR="00C52E2D" w:rsidRPr="00C6115D">
        <w:rPr>
          <w:rFonts w:ascii="Arial" w:hAnsi="Arial" w:cs="Arial"/>
        </w:rPr>
        <w:t>cutive Director as part of the annual r</w:t>
      </w:r>
      <w:r w:rsidR="003E1EE1" w:rsidRPr="00C6115D">
        <w:rPr>
          <w:rFonts w:ascii="Arial" w:hAnsi="Arial" w:cs="Arial"/>
        </w:rPr>
        <w:t xml:space="preserve">eporting process.  </w:t>
      </w:r>
      <w:r w:rsidR="00C52E2D" w:rsidRPr="00C6115D">
        <w:rPr>
          <w:rFonts w:ascii="Arial" w:hAnsi="Arial" w:cs="Arial"/>
        </w:rPr>
        <w:t>All annual r</w:t>
      </w:r>
      <w:r w:rsidR="003E1EE1" w:rsidRPr="00C6115D">
        <w:rPr>
          <w:rFonts w:ascii="Arial" w:hAnsi="Arial" w:cs="Arial"/>
        </w:rPr>
        <w:t>eporting is also subject to extensive Audit Committee and Board scrutiny and this is summarised below under “Governance”.</w:t>
      </w:r>
    </w:p>
    <w:p w:rsidR="00ED4821" w:rsidRPr="00C6115D" w:rsidRDefault="00ED4821" w:rsidP="00CB10A4">
      <w:pPr>
        <w:pStyle w:val="ListParagraph"/>
        <w:spacing w:after="0"/>
        <w:ind w:left="0"/>
        <w:rPr>
          <w:rFonts w:ascii="Arial" w:hAnsi="Arial" w:cs="Arial"/>
        </w:rPr>
      </w:pPr>
    </w:p>
    <w:p w:rsidR="00ED4821" w:rsidRPr="00C6115D" w:rsidRDefault="00ED4821" w:rsidP="00CB10A4">
      <w:pPr>
        <w:pStyle w:val="ListParagraph"/>
        <w:spacing w:after="0"/>
        <w:ind w:left="0"/>
        <w:rPr>
          <w:rFonts w:ascii="Arial" w:hAnsi="Arial" w:cs="Arial"/>
          <w:u w:val="single"/>
        </w:rPr>
      </w:pPr>
      <w:r w:rsidRPr="00C6115D">
        <w:rPr>
          <w:rFonts w:ascii="Arial" w:hAnsi="Arial" w:cs="Arial"/>
          <w:u w:val="single"/>
        </w:rPr>
        <w:t>External Data Assurance</w:t>
      </w:r>
    </w:p>
    <w:p w:rsidR="00ED4821" w:rsidRPr="00C6115D" w:rsidRDefault="003E1EE1" w:rsidP="00CB10A4">
      <w:pPr>
        <w:pStyle w:val="ListParagraph"/>
        <w:spacing w:after="0"/>
        <w:ind w:left="0"/>
        <w:rPr>
          <w:rFonts w:ascii="Arial" w:hAnsi="Arial" w:cs="Arial"/>
        </w:rPr>
      </w:pPr>
      <w:r w:rsidRPr="00C6115D">
        <w:rPr>
          <w:rFonts w:ascii="Arial" w:hAnsi="Arial" w:cs="Arial"/>
        </w:rPr>
        <w:t xml:space="preserve">External audit work is performed on both financial information as part of the Annual Report and Accounts audit and on operational and financial data reported through the Annual Performance Report and Annual ODI report.  This work is undertaken by professionally qualified and appropriately experienced </w:t>
      </w:r>
      <w:r w:rsidR="00D23C71">
        <w:rPr>
          <w:rFonts w:ascii="Arial" w:hAnsi="Arial" w:cs="Arial"/>
        </w:rPr>
        <w:t xml:space="preserve">independent </w:t>
      </w:r>
      <w:r w:rsidRPr="00C6115D">
        <w:rPr>
          <w:rFonts w:ascii="Arial" w:hAnsi="Arial" w:cs="Arial"/>
        </w:rPr>
        <w:t>organisations.</w:t>
      </w:r>
    </w:p>
    <w:p w:rsidR="003E1EE1" w:rsidRPr="00C6115D" w:rsidRDefault="003E1EE1" w:rsidP="00CB10A4">
      <w:pPr>
        <w:pStyle w:val="ListParagraph"/>
        <w:spacing w:after="0"/>
        <w:ind w:left="0"/>
        <w:rPr>
          <w:rFonts w:ascii="Arial" w:hAnsi="Arial" w:cs="Arial"/>
        </w:rPr>
      </w:pPr>
    </w:p>
    <w:p w:rsidR="003E1EE1" w:rsidRDefault="003E1EE1" w:rsidP="00CB10A4">
      <w:pPr>
        <w:pStyle w:val="ListParagraph"/>
        <w:spacing w:after="0"/>
        <w:ind w:left="0"/>
        <w:rPr>
          <w:rFonts w:ascii="Arial" w:hAnsi="Arial" w:cs="Arial"/>
        </w:rPr>
      </w:pPr>
      <w:r w:rsidRPr="00C6115D">
        <w:rPr>
          <w:rFonts w:ascii="Arial" w:hAnsi="Arial" w:cs="Arial"/>
        </w:rPr>
        <w:t xml:space="preserve">Financial data is reported on by our financial auditors </w:t>
      </w:r>
      <w:r w:rsidR="00CF5039" w:rsidRPr="001412A9">
        <w:rPr>
          <w:rFonts w:ascii="Arial" w:hAnsi="Arial" w:cs="Arial"/>
        </w:rPr>
        <w:t>KPMG</w:t>
      </w:r>
      <w:r w:rsidRPr="001412A9">
        <w:rPr>
          <w:rFonts w:ascii="Arial" w:hAnsi="Arial" w:cs="Arial"/>
        </w:rPr>
        <w:t>, a firm of Chartered Accountants and Registered Auditors.  Operational dat</w:t>
      </w:r>
      <w:r w:rsidRPr="00C6115D">
        <w:rPr>
          <w:rFonts w:ascii="Arial" w:hAnsi="Arial" w:cs="Arial"/>
        </w:rPr>
        <w:t>a is reported on by Atkins, a firm of Engineering Consultants with significant experience in the Water Industry.</w:t>
      </w:r>
    </w:p>
    <w:p w:rsidR="00723A6B" w:rsidRDefault="00723A6B" w:rsidP="00CB10A4">
      <w:pPr>
        <w:pStyle w:val="ListParagraph"/>
        <w:spacing w:after="0"/>
        <w:ind w:left="0"/>
        <w:rPr>
          <w:rFonts w:ascii="Arial" w:hAnsi="Arial" w:cs="Arial"/>
        </w:rPr>
      </w:pPr>
    </w:p>
    <w:p w:rsidR="00723A6B" w:rsidRDefault="00723A6B" w:rsidP="00CB10A4">
      <w:pPr>
        <w:pStyle w:val="ListParagraph"/>
        <w:spacing w:after="0"/>
        <w:ind w:left="0"/>
        <w:rPr>
          <w:rFonts w:ascii="Arial" w:hAnsi="Arial" w:cs="Arial"/>
        </w:rPr>
      </w:pPr>
      <w:r>
        <w:rPr>
          <w:rFonts w:ascii="Arial" w:hAnsi="Arial" w:cs="Arial"/>
          <w:u w:val="single"/>
        </w:rPr>
        <w:t>Overview of Information</w:t>
      </w:r>
    </w:p>
    <w:p w:rsidR="00723A6B" w:rsidRDefault="00723A6B" w:rsidP="00CB10A4">
      <w:pPr>
        <w:pStyle w:val="ListParagraph"/>
        <w:spacing w:after="0"/>
        <w:ind w:left="0"/>
        <w:rPr>
          <w:rFonts w:ascii="Arial" w:hAnsi="Arial" w:cs="Arial"/>
        </w:rPr>
      </w:pPr>
      <w:r>
        <w:rPr>
          <w:rFonts w:ascii="Arial" w:hAnsi="Arial" w:cs="Arial"/>
        </w:rPr>
        <w:lastRenderedPageBreak/>
        <w:t>In order to gain confidence that the data, together with its form of presentation and related narrative, reflects a fair, balanced, consistent and transparent position the following are undertaken;</w:t>
      </w:r>
    </w:p>
    <w:p w:rsidR="00723A6B" w:rsidRDefault="00723A6B" w:rsidP="00CB10A4">
      <w:pPr>
        <w:pStyle w:val="ListParagraph"/>
        <w:spacing w:after="0"/>
        <w:ind w:left="0"/>
        <w:rPr>
          <w:rFonts w:ascii="Arial" w:hAnsi="Arial" w:cs="Arial"/>
        </w:rPr>
      </w:pPr>
    </w:p>
    <w:p w:rsidR="00723A6B" w:rsidRDefault="00723A6B" w:rsidP="00723A6B">
      <w:pPr>
        <w:pStyle w:val="ListParagraph"/>
        <w:numPr>
          <w:ilvl w:val="0"/>
          <w:numId w:val="8"/>
        </w:numPr>
        <w:spacing w:after="0"/>
        <w:rPr>
          <w:rFonts w:ascii="Arial" w:hAnsi="Arial" w:cs="Arial"/>
        </w:rPr>
      </w:pPr>
      <w:r>
        <w:rPr>
          <w:rFonts w:ascii="Arial" w:hAnsi="Arial" w:cs="Arial"/>
        </w:rPr>
        <w:t>Full reporting documents, both data and related narrative, are reviewed and commented upon by our external assurance providers.  Whilst this does not always form part of their assurance process it does provide a level of comfort that the information presented is consistent and balanced.</w:t>
      </w:r>
    </w:p>
    <w:p w:rsidR="00723A6B" w:rsidRDefault="00723A6B" w:rsidP="00723A6B">
      <w:pPr>
        <w:pStyle w:val="ListParagraph"/>
        <w:numPr>
          <w:ilvl w:val="0"/>
          <w:numId w:val="8"/>
        </w:numPr>
        <w:spacing w:after="0"/>
        <w:rPr>
          <w:rFonts w:ascii="Arial" w:hAnsi="Arial" w:cs="Arial"/>
        </w:rPr>
      </w:pPr>
      <w:r>
        <w:rPr>
          <w:rFonts w:ascii="Arial" w:hAnsi="Arial" w:cs="Arial"/>
        </w:rPr>
        <w:t>Full reporting documents are reviewed and commented upon by relevant senior managers, the Executive Directors and the Board.  The Board challenges the presentation, understandability, balance and transparency of the information provided.</w:t>
      </w:r>
    </w:p>
    <w:p w:rsidR="00723A6B" w:rsidRPr="00723A6B" w:rsidRDefault="00723A6B" w:rsidP="00723A6B">
      <w:pPr>
        <w:pStyle w:val="ListParagraph"/>
        <w:numPr>
          <w:ilvl w:val="0"/>
          <w:numId w:val="8"/>
        </w:numPr>
        <w:spacing w:after="0"/>
        <w:rPr>
          <w:rFonts w:ascii="Arial" w:hAnsi="Arial" w:cs="Arial"/>
        </w:rPr>
      </w:pPr>
      <w:r>
        <w:rPr>
          <w:rFonts w:ascii="Arial" w:hAnsi="Arial" w:cs="Arial"/>
        </w:rPr>
        <w:t>The CCG reviews, and provides a report on the information provided in relation to ODI performance.</w:t>
      </w:r>
    </w:p>
    <w:p w:rsidR="003E1EE1" w:rsidRPr="00C6115D" w:rsidRDefault="003E1EE1" w:rsidP="00CB10A4">
      <w:pPr>
        <w:pStyle w:val="ListParagraph"/>
        <w:spacing w:after="0"/>
        <w:ind w:left="0"/>
        <w:rPr>
          <w:rFonts w:ascii="Arial" w:hAnsi="Arial" w:cs="Arial"/>
        </w:rPr>
      </w:pPr>
    </w:p>
    <w:p w:rsidR="003E1EE1" w:rsidRPr="00C6115D" w:rsidRDefault="003E1EE1" w:rsidP="00CB10A4">
      <w:pPr>
        <w:spacing w:after="0"/>
        <w:rPr>
          <w:rFonts w:ascii="Arial" w:hAnsi="Arial" w:cs="Arial"/>
          <w:b/>
          <w:i/>
        </w:rPr>
      </w:pPr>
      <w:r w:rsidRPr="00C6115D">
        <w:rPr>
          <w:rFonts w:ascii="Arial" w:hAnsi="Arial" w:cs="Arial"/>
          <w:b/>
          <w:i/>
        </w:rPr>
        <w:t>Results</w:t>
      </w:r>
    </w:p>
    <w:p w:rsidR="00D2277E" w:rsidRDefault="009D0B9A" w:rsidP="00CB10A4">
      <w:pPr>
        <w:spacing w:after="0"/>
        <w:rPr>
          <w:rFonts w:ascii="Arial" w:hAnsi="Arial" w:cs="Arial"/>
        </w:rPr>
      </w:pPr>
      <w:r w:rsidRPr="00C6115D">
        <w:rPr>
          <w:rFonts w:ascii="Arial" w:hAnsi="Arial" w:cs="Arial"/>
        </w:rPr>
        <w:t xml:space="preserve">Our Data Assurance activities were completed satisfactorily and did not identify either any material </w:t>
      </w:r>
      <w:r w:rsidR="0016027D" w:rsidRPr="00C6115D">
        <w:rPr>
          <w:rFonts w:ascii="Arial" w:hAnsi="Arial" w:cs="Arial"/>
        </w:rPr>
        <w:t>misstatements or omissions.  The following external assurance reports were provided and are included in publical</w:t>
      </w:r>
      <w:r w:rsidR="00D2277E">
        <w:rPr>
          <w:rFonts w:ascii="Arial" w:hAnsi="Arial" w:cs="Arial"/>
        </w:rPr>
        <w:t>ly available documents as noted:-</w:t>
      </w:r>
    </w:p>
    <w:p w:rsidR="00D2277E" w:rsidRPr="00C6115D" w:rsidRDefault="00D2277E" w:rsidP="00CB10A4">
      <w:pPr>
        <w:spacing w:after="0"/>
        <w:rPr>
          <w:rFonts w:ascii="Arial" w:hAnsi="Arial" w:cs="Arial"/>
        </w:rPr>
      </w:pPr>
    </w:p>
    <w:p w:rsidR="009D0B9A" w:rsidRPr="00D7469B" w:rsidRDefault="00C52E2D" w:rsidP="00723A6B">
      <w:pPr>
        <w:pStyle w:val="ListParagraph"/>
        <w:numPr>
          <w:ilvl w:val="0"/>
          <w:numId w:val="4"/>
        </w:numPr>
        <w:spacing w:after="0"/>
        <w:rPr>
          <w:rFonts w:ascii="Arial" w:hAnsi="Arial" w:cs="Arial"/>
        </w:rPr>
      </w:pPr>
      <w:r w:rsidRPr="00D7469B">
        <w:rPr>
          <w:rFonts w:ascii="Arial" w:hAnsi="Arial" w:cs="Arial"/>
        </w:rPr>
        <w:t xml:space="preserve">Audit opinion from </w:t>
      </w:r>
      <w:r w:rsidR="00D7469B" w:rsidRPr="00D7469B">
        <w:rPr>
          <w:rFonts w:ascii="Arial" w:hAnsi="Arial" w:cs="Arial"/>
        </w:rPr>
        <w:t xml:space="preserve">KPMG </w:t>
      </w:r>
      <w:r w:rsidRPr="00D7469B">
        <w:rPr>
          <w:rFonts w:ascii="Arial" w:hAnsi="Arial" w:cs="Arial"/>
        </w:rPr>
        <w:t xml:space="preserve">on the Annual Report and Accounts for Portsmouth Water dated </w:t>
      </w:r>
      <w:r w:rsidR="00723A6B" w:rsidRPr="00723A6B">
        <w:rPr>
          <w:rFonts w:ascii="Arial" w:hAnsi="Arial" w:cs="Arial"/>
        </w:rPr>
        <w:t>25</w:t>
      </w:r>
      <w:r w:rsidR="00D7469B" w:rsidRPr="00723A6B">
        <w:rPr>
          <w:rFonts w:ascii="Arial" w:hAnsi="Arial" w:cs="Arial"/>
        </w:rPr>
        <w:t xml:space="preserve"> May 2018 </w:t>
      </w:r>
      <w:r w:rsidR="00143760" w:rsidRPr="00723A6B">
        <w:rPr>
          <w:rFonts w:ascii="Arial" w:hAnsi="Arial" w:cs="Arial"/>
        </w:rPr>
        <w:t>on page</w:t>
      </w:r>
      <w:r w:rsidR="008113EB" w:rsidRPr="00723A6B">
        <w:rPr>
          <w:rFonts w:ascii="Arial" w:hAnsi="Arial" w:cs="Arial"/>
        </w:rPr>
        <w:t xml:space="preserve"> </w:t>
      </w:r>
      <w:r w:rsidR="00723A6B">
        <w:rPr>
          <w:rFonts w:ascii="Arial" w:hAnsi="Arial" w:cs="Arial"/>
        </w:rPr>
        <w:t>56</w:t>
      </w:r>
    </w:p>
    <w:p w:rsidR="00143760" w:rsidRPr="00F1740B" w:rsidRDefault="00C52E2D" w:rsidP="00CB10A4">
      <w:pPr>
        <w:pStyle w:val="ListParagraph"/>
        <w:numPr>
          <w:ilvl w:val="0"/>
          <w:numId w:val="4"/>
        </w:numPr>
        <w:spacing w:after="0"/>
        <w:rPr>
          <w:rFonts w:ascii="Arial" w:hAnsi="Arial" w:cs="Arial"/>
        </w:rPr>
      </w:pPr>
      <w:r w:rsidRPr="00D7469B">
        <w:rPr>
          <w:rFonts w:ascii="Arial" w:hAnsi="Arial" w:cs="Arial"/>
        </w:rPr>
        <w:t xml:space="preserve">Audit Report by </w:t>
      </w:r>
      <w:r w:rsidR="00D7469B" w:rsidRPr="00D7469B">
        <w:rPr>
          <w:rFonts w:ascii="Arial" w:hAnsi="Arial" w:cs="Arial"/>
        </w:rPr>
        <w:t xml:space="preserve">KPMG </w:t>
      </w:r>
      <w:r w:rsidRPr="00D7469B">
        <w:rPr>
          <w:rFonts w:ascii="Arial" w:hAnsi="Arial" w:cs="Arial"/>
        </w:rPr>
        <w:t>on the sections 1,</w:t>
      </w:r>
      <w:r w:rsidR="00336529" w:rsidRPr="00D7469B">
        <w:rPr>
          <w:rFonts w:ascii="Arial" w:hAnsi="Arial" w:cs="Arial"/>
        </w:rPr>
        <w:t xml:space="preserve"> </w:t>
      </w:r>
      <w:r w:rsidRPr="00D7469B">
        <w:rPr>
          <w:rFonts w:ascii="Arial" w:hAnsi="Arial" w:cs="Arial"/>
        </w:rPr>
        <w:t xml:space="preserve">2 &amp; 4 of the Annual Performance Report </w:t>
      </w:r>
      <w:r w:rsidRPr="00F1740B">
        <w:rPr>
          <w:rFonts w:ascii="Arial" w:hAnsi="Arial" w:cs="Arial"/>
        </w:rPr>
        <w:t xml:space="preserve">dated </w:t>
      </w:r>
      <w:r w:rsidR="00F1740B" w:rsidRPr="00F1740B">
        <w:rPr>
          <w:rFonts w:ascii="Arial" w:hAnsi="Arial" w:cs="Arial"/>
        </w:rPr>
        <w:t>2 July</w:t>
      </w:r>
      <w:r w:rsidR="00D7469B" w:rsidRPr="00F1740B">
        <w:rPr>
          <w:rFonts w:ascii="Arial" w:hAnsi="Arial" w:cs="Arial"/>
        </w:rPr>
        <w:t xml:space="preserve"> 2018 </w:t>
      </w:r>
      <w:r w:rsidR="00143760" w:rsidRPr="00F1740B">
        <w:rPr>
          <w:rFonts w:ascii="Arial" w:hAnsi="Arial" w:cs="Arial"/>
        </w:rPr>
        <w:t>on page</w:t>
      </w:r>
      <w:r w:rsidR="00F1740B" w:rsidRPr="00F1740B">
        <w:rPr>
          <w:rFonts w:ascii="Arial" w:hAnsi="Arial" w:cs="Arial"/>
        </w:rPr>
        <w:t>s 74-76</w:t>
      </w:r>
      <w:r w:rsidR="00143760" w:rsidRPr="00F1740B">
        <w:rPr>
          <w:rFonts w:ascii="Arial" w:hAnsi="Arial" w:cs="Arial"/>
        </w:rPr>
        <w:t xml:space="preserve"> </w:t>
      </w:r>
    </w:p>
    <w:p w:rsidR="00611060" w:rsidRPr="00D7469B" w:rsidRDefault="00611060" w:rsidP="00CB10A4">
      <w:pPr>
        <w:pStyle w:val="ListParagraph"/>
        <w:numPr>
          <w:ilvl w:val="0"/>
          <w:numId w:val="4"/>
        </w:numPr>
        <w:spacing w:after="0"/>
        <w:rPr>
          <w:rFonts w:ascii="Arial" w:hAnsi="Arial" w:cs="Arial"/>
        </w:rPr>
      </w:pPr>
      <w:r w:rsidRPr="00F1740B">
        <w:rPr>
          <w:rFonts w:ascii="Arial" w:hAnsi="Arial" w:cs="Arial"/>
        </w:rPr>
        <w:lastRenderedPageBreak/>
        <w:t xml:space="preserve">In addition </w:t>
      </w:r>
      <w:r w:rsidR="00D7469B" w:rsidRPr="00F1740B">
        <w:rPr>
          <w:rFonts w:ascii="Arial" w:hAnsi="Arial" w:cs="Arial"/>
        </w:rPr>
        <w:t xml:space="preserve">KPMG </w:t>
      </w:r>
      <w:r w:rsidRPr="00F1740B">
        <w:rPr>
          <w:rFonts w:ascii="Arial" w:hAnsi="Arial" w:cs="Arial"/>
        </w:rPr>
        <w:t>also signed a certificate</w:t>
      </w:r>
      <w:r w:rsidRPr="00D7469B">
        <w:rPr>
          <w:rFonts w:ascii="Arial" w:hAnsi="Arial" w:cs="Arial"/>
        </w:rPr>
        <w:t xml:space="preserve"> of sufficiency of financial resources under the company’s licence condition (F6A)</w:t>
      </w:r>
    </w:p>
    <w:p w:rsidR="00C52E2D" w:rsidRPr="00D7469B" w:rsidRDefault="00C52E2D" w:rsidP="00CB10A4">
      <w:pPr>
        <w:pStyle w:val="ListParagraph"/>
        <w:numPr>
          <w:ilvl w:val="0"/>
          <w:numId w:val="4"/>
        </w:numPr>
        <w:spacing w:after="0"/>
        <w:rPr>
          <w:rFonts w:ascii="Arial" w:hAnsi="Arial" w:cs="Arial"/>
        </w:rPr>
      </w:pPr>
      <w:r w:rsidRPr="00D7469B">
        <w:rPr>
          <w:rFonts w:ascii="Arial" w:hAnsi="Arial" w:cs="Arial"/>
        </w:rPr>
        <w:t>Assuran</w:t>
      </w:r>
      <w:r w:rsidR="00646F55" w:rsidRPr="00D7469B">
        <w:rPr>
          <w:rFonts w:ascii="Arial" w:hAnsi="Arial" w:cs="Arial"/>
        </w:rPr>
        <w:t xml:space="preserve">ce by </w:t>
      </w:r>
      <w:r w:rsidRPr="00D7469B">
        <w:rPr>
          <w:rFonts w:ascii="Arial" w:hAnsi="Arial" w:cs="Arial"/>
        </w:rPr>
        <w:t>Atkins covering data for the ODI Report.  The summary of this work is set out on p</w:t>
      </w:r>
      <w:r w:rsidR="00A64097" w:rsidRPr="00D7469B">
        <w:rPr>
          <w:rFonts w:ascii="Arial" w:hAnsi="Arial" w:cs="Arial"/>
        </w:rPr>
        <w:t>a</w:t>
      </w:r>
      <w:r w:rsidRPr="00D7469B">
        <w:rPr>
          <w:rFonts w:ascii="Arial" w:hAnsi="Arial" w:cs="Arial"/>
        </w:rPr>
        <w:t>g</w:t>
      </w:r>
      <w:r w:rsidR="00A64097" w:rsidRPr="00D7469B">
        <w:rPr>
          <w:rFonts w:ascii="Arial" w:hAnsi="Arial" w:cs="Arial"/>
        </w:rPr>
        <w:t>e</w:t>
      </w:r>
      <w:r w:rsidRPr="00D7469B">
        <w:rPr>
          <w:rFonts w:ascii="Arial" w:hAnsi="Arial" w:cs="Arial"/>
        </w:rPr>
        <w:t xml:space="preserve"> 4 of the ODI report and the full final report is included on page </w:t>
      </w:r>
      <w:r w:rsidR="0086417B" w:rsidRPr="00A91993">
        <w:rPr>
          <w:rFonts w:ascii="Arial" w:hAnsi="Arial" w:cs="Arial"/>
        </w:rPr>
        <w:t>4</w:t>
      </w:r>
      <w:r w:rsidR="00A91993" w:rsidRPr="00A91993">
        <w:rPr>
          <w:rFonts w:ascii="Arial" w:hAnsi="Arial" w:cs="Arial"/>
        </w:rPr>
        <w:t>3</w:t>
      </w:r>
      <w:r w:rsidR="006943CE" w:rsidRPr="00A91993">
        <w:rPr>
          <w:rFonts w:ascii="Arial" w:hAnsi="Arial" w:cs="Arial"/>
        </w:rPr>
        <w:t>,</w:t>
      </w:r>
      <w:r w:rsidR="006943CE" w:rsidRPr="00D7469B">
        <w:rPr>
          <w:rFonts w:ascii="Arial" w:hAnsi="Arial" w:cs="Arial"/>
        </w:rPr>
        <w:t xml:space="preserve"> </w:t>
      </w:r>
      <w:r w:rsidR="001F09CF" w:rsidRPr="00D7469B">
        <w:rPr>
          <w:rFonts w:ascii="Arial" w:hAnsi="Arial" w:cs="Arial"/>
        </w:rPr>
        <w:t xml:space="preserve">published </w:t>
      </w:r>
      <w:r w:rsidR="006943CE" w:rsidRPr="00D7469B">
        <w:rPr>
          <w:rFonts w:ascii="Arial" w:hAnsi="Arial" w:cs="Arial"/>
        </w:rPr>
        <w:t>12 July 201</w:t>
      </w:r>
      <w:r w:rsidR="00D7469B" w:rsidRPr="00D7469B">
        <w:rPr>
          <w:rFonts w:ascii="Arial" w:hAnsi="Arial" w:cs="Arial"/>
        </w:rPr>
        <w:t>8</w:t>
      </w:r>
    </w:p>
    <w:p w:rsidR="00806FA1" w:rsidRPr="004E50CA" w:rsidRDefault="00806FA1" w:rsidP="00CB10A4">
      <w:pPr>
        <w:pStyle w:val="ListParagraph"/>
        <w:numPr>
          <w:ilvl w:val="0"/>
          <w:numId w:val="3"/>
        </w:numPr>
        <w:spacing w:after="0"/>
        <w:rPr>
          <w:rFonts w:ascii="Arial" w:hAnsi="Arial" w:cs="Arial"/>
        </w:rPr>
      </w:pPr>
      <w:r w:rsidRPr="004E50CA">
        <w:rPr>
          <w:rFonts w:ascii="Arial" w:hAnsi="Arial" w:cs="Arial"/>
        </w:rPr>
        <w:t>In addition our Customer Challenge Group also provided an annual report which is included</w:t>
      </w:r>
      <w:r w:rsidR="006943CE" w:rsidRPr="004E50CA">
        <w:rPr>
          <w:rFonts w:ascii="Arial" w:hAnsi="Arial" w:cs="Arial"/>
        </w:rPr>
        <w:t xml:space="preserve"> on pages </w:t>
      </w:r>
      <w:r w:rsidR="004E50CA" w:rsidRPr="004E50CA">
        <w:rPr>
          <w:rFonts w:ascii="Arial" w:hAnsi="Arial" w:cs="Arial"/>
        </w:rPr>
        <w:t>8</w:t>
      </w:r>
      <w:r w:rsidR="006943CE" w:rsidRPr="004E50CA">
        <w:rPr>
          <w:rFonts w:ascii="Arial" w:hAnsi="Arial" w:cs="Arial"/>
        </w:rPr>
        <w:t xml:space="preserve">-9 of the ODI report, </w:t>
      </w:r>
      <w:r w:rsidR="001F09CF" w:rsidRPr="004E50CA">
        <w:rPr>
          <w:rFonts w:ascii="Arial" w:hAnsi="Arial" w:cs="Arial"/>
        </w:rPr>
        <w:t xml:space="preserve">published </w:t>
      </w:r>
      <w:r w:rsidR="006943CE" w:rsidRPr="004E50CA">
        <w:rPr>
          <w:rFonts w:ascii="Arial" w:hAnsi="Arial" w:cs="Arial"/>
        </w:rPr>
        <w:t>12 July 201</w:t>
      </w:r>
      <w:r w:rsidR="004C59A5" w:rsidRPr="004E50CA">
        <w:rPr>
          <w:rFonts w:ascii="Arial" w:hAnsi="Arial" w:cs="Arial"/>
        </w:rPr>
        <w:t>8</w:t>
      </w:r>
      <w:r w:rsidR="006943CE" w:rsidRPr="004E50CA">
        <w:rPr>
          <w:rFonts w:ascii="Arial" w:hAnsi="Arial" w:cs="Arial"/>
        </w:rPr>
        <w:t>.</w:t>
      </w:r>
    </w:p>
    <w:p w:rsidR="00520B21" w:rsidRDefault="00520B21" w:rsidP="00CB10A4">
      <w:pPr>
        <w:spacing w:after="0"/>
        <w:rPr>
          <w:rFonts w:ascii="Arial" w:hAnsi="Arial" w:cs="Arial"/>
        </w:rPr>
      </w:pPr>
    </w:p>
    <w:p w:rsidR="00806FA1" w:rsidRPr="00C6115D" w:rsidRDefault="00806FA1" w:rsidP="00CB10A4">
      <w:pPr>
        <w:spacing w:after="0"/>
        <w:rPr>
          <w:rFonts w:ascii="Arial" w:hAnsi="Arial" w:cs="Arial"/>
        </w:rPr>
      </w:pPr>
      <w:r w:rsidRPr="00C6115D">
        <w:rPr>
          <w:rFonts w:ascii="Arial" w:hAnsi="Arial" w:cs="Arial"/>
        </w:rPr>
        <w:t>These reports are all</w:t>
      </w:r>
      <w:r w:rsidR="00F23ED3" w:rsidRPr="00C6115D">
        <w:rPr>
          <w:rFonts w:ascii="Arial" w:hAnsi="Arial" w:cs="Arial"/>
        </w:rPr>
        <w:t xml:space="preserve"> publicly available and </w:t>
      </w:r>
      <w:r w:rsidRPr="00C6115D">
        <w:rPr>
          <w:rFonts w:ascii="Arial" w:hAnsi="Arial" w:cs="Arial"/>
        </w:rPr>
        <w:t xml:space="preserve">included on </w:t>
      </w:r>
      <w:r w:rsidR="00F23ED3" w:rsidRPr="00C6115D">
        <w:rPr>
          <w:rFonts w:ascii="Arial" w:hAnsi="Arial" w:cs="Arial"/>
        </w:rPr>
        <w:t>the Company’s website.</w:t>
      </w:r>
    </w:p>
    <w:p w:rsidR="00520B21" w:rsidRDefault="00520B21" w:rsidP="00CB10A4">
      <w:pPr>
        <w:spacing w:after="0"/>
        <w:rPr>
          <w:rFonts w:ascii="Arial" w:hAnsi="Arial" w:cs="Arial"/>
        </w:rPr>
      </w:pPr>
    </w:p>
    <w:p w:rsidR="00336529" w:rsidRPr="00C6115D" w:rsidRDefault="00336529" w:rsidP="00CB10A4">
      <w:pPr>
        <w:spacing w:after="0"/>
        <w:rPr>
          <w:rFonts w:ascii="Arial" w:hAnsi="Arial" w:cs="Arial"/>
        </w:rPr>
      </w:pPr>
      <w:r w:rsidRPr="00C6115D">
        <w:rPr>
          <w:rFonts w:ascii="Arial" w:hAnsi="Arial" w:cs="Arial"/>
        </w:rPr>
        <w:t>The</w:t>
      </w:r>
      <w:r w:rsidR="00723A6B">
        <w:rPr>
          <w:rFonts w:ascii="Arial" w:hAnsi="Arial" w:cs="Arial"/>
        </w:rPr>
        <w:t xml:space="preserve"> detailed</w:t>
      </w:r>
      <w:r w:rsidRPr="00C6115D">
        <w:rPr>
          <w:rFonts w:ascii="Arial" w:hAnsi="Arial" w:cs="Arial"/>
        </w:rPr>
        <w:t xml:space="preserve"> findings of the external assurance providers were presented to the Audit Committee on</w:t>
      </w:r>
      <w:r w:rsidR="008113EB" w:rsidRPr="00C6115D">
        <w:rPr>
          <w:rFonts w:ascii="Arial" w:hAnsi="Arial" w:cs="Arial"/>
        </w:rPr>
        <w:t xml:space="preserve"> 2</w:t>
      </w:r>
      <w:r w:rsidR="00CF5039">
        <w:rPr>
          <w:rFonts w:ascii="Arial" w:hAnsi="Arial" w:cs="Arial"/>
        </w:rPr>
        <w:t>4</w:t>
      </w:r>
      <w:r w:rsidR="008113EB" w:rsidRPr="00C6115D">
        <w:rPr>
          <w:rFonts w:ascii="Arial" w:hAnsi="Arial" w:cs="Arial"/>
        </w:rPr>
        <w:t xml:space="preserve"> May 201</w:t>
      </w:r>
      <w:r w:rsidR="00CF5039">
        <w:rPr>
          <w:rFonts w:ascii="Arial" w:hAnsi="Arial" w:cs="Arial"/>
        </w:rPr>
        <w:t>8</w:t>
      </w:r>
      <w:r w:rsidRPr="00C6115D">
        <w:rPr>
          <w:rFonts w:ascii="Arial" w:hAnsi="Arial" w:cs="Arial"/>
        </w:rPr>
        <w:t>.  The Company tracks progress against any areas identified for improvement and formally reports to the Audit Committee on progress</w:t>
      </w:r>
      <w:r w:rsidR="00B809E5" w:rsidRPr="00C6115D">
        <w:rPr>
          <w:rFonts w:ascii="Arial" w:hAnsi="Arial" w:cs="Arial"/>
        </w:rPr>
        <w:t xml:space="preserve"> in November</w:t>
      </w:r>
      <w:r w:rsidRPr="00C6115D">
        <w:rPr>
          <w:rFonts w:ascii="Arial" w:hAnsi="Arial" w:cs="Arial"/>
        </w:rPr>
        <w:t>.  This forms part of a process of continuous improvement in relation to data quality as part of the Data Assurance cycle.</w:t>
      </w:r>
    </w:p>
    <w:p w:rsidR="00A64097" w:rsidRDefault="00A64097">
      <w:pPr>
        <w:rPr>
          <w:rFonts w:ascii="Arial" w:hAnsi="Arial" w:cs="Arial"/>
        </w:rPr>
      </w:pPr>
      <w:r>
        <w:rPr>
          <w:rFonts w:ascii="Arial" w:hAnsi="Arial" w:cs="Arial"/>
        </w:rPr>
        <w:br w:type="page"/>
      </w:r>
    </w:p>
    <w:p w:rsidR="00B809E5" w:rsidRPr="00C6115D" w:rsidRDefault="00B809E5" w:rsidP="00CB10A4">
      <w:pPr>
        <w:spacing w:after="0"/>
        <w:rPr>
          <w:rFonts w:ascii="Arial" w:hAnsi="Arial" w:cs="Arial"/>
        </w:rPr>
      </w:pPr>
      <w:r w:rsidRPr="00C6115D">
        <w:rPr>
          <w:rFonts w:ascii="Arial" w:hAnsi="Arial" w:cs="Arial"/>
        </w:rPr>
        <w:lastRenderedPageBreak/>
        <w:t>The key observations from our externa</w:t>
      </w:r>
      <w:r w:rsidR="00BA196D">
        <w:rPr>
          <w:rFonts w:ascii="Arial" w:hAnsi="Arial" w:cs="Arial"/>
        </w:rPr>
        <w:t>l</w:t>
      </w:r>
      <w:r w:rsidRPr="00C6115D">
        <w:rPr>
          <w:rFonts w:ascii="Arial" w:hAnsi="Arial" w:cs="Arial"/>
        </w:rPr>
        <w:t xml:space="preserve"> assurance providers, dis</w:t>
      </w:r>
      <w:r w:rsidR="00520B21">
        <w:rPr>
          <w:rFonts w:ascii="Arial" w:hAnsi="Arial" w:cs="Arial"/>
        </w:rPr>
        <w:t xml:space="preserve">cussed </w:t>
      </w:r>
      <w:r w:rsidRPr="00C6115D">
        <w:rPr>
          <w:rFonts w:ascii="Arial" w:hAnsi="Arial" w:cs="Arial"/>
        </w:rPr>
        <w:t>at the Audit Committee and Board were as follows;</w:t>
      </w:r>
    </w:p>
    <w:p w:rsidR="00806FA1" w:rsidRPr="00C6115D" w:rsidRDefault="00806FA1" w:rsidP="00CB10A4">
      <w:pPr>
        <w:spacing w:after="0"/>
        <w:rPr>
          <w:rFonts w:ascii="Arial" w:hAnsi="Arial" w:cs="Arial"/>
        </w:rPr>
      </w:pPr>
    </w:p>
    <w:p w:rsidR="00B809E5" w:rsidRPr="00C6115D" w:rsidRDefault="00B809E5" w:rsidP="00CB10A4">
      <w:pPr>
        <w:pStyle w:val="ListParagraph"/>
        <w:numPr>
          <w:ilvl w:val="0"/>
          <w:numId w:val="3"/>
        </w:numPr>
        <w:spacing w:after="0"/>
        <w:ind w:left="284" w:firstLine="0"/>
        <w:rPr>
          <w:rFonts w:ascii="Arial" w:hAnsi="Arial" w:cs="Arial"/>
        </w:rPr>
      </w:pPr>
      <w:r w:rsidRPr="00C6115D">
        <w:rPr>
          <w:rFonts w:ascii="Arial" w:hAnsi="Arial" w:cs="Arial"/>
        </w:rPr>
        <w:t>No material issues were identified.</w:t>
      </w:r>
    </w:p>
    <w:p w:rsidR="003E1EE1" w:rsidRPr="00C6115D" w:rsidRDefault="00B809E5" w:rsidP="00CB10A4">
      <w:pPr>
        <w:pStyle w:val="ListParagraph"/>
        <w:numPr>
          <w:ilvl w:val="0"/>
          <w:numId w:val="3"/>
        </w:numPr>
        <w:spacing w:after="0"/>
        <w:ind w:left="284" w:firstLine="0"/>
        <w:rPr>
          <w:rFonts w:ascii="Arial" w:hAnsi="Arial" w:cs="Arial"/>
        </w:rPr>
      </w:pPr>
      <w:r w:rsidRPr="00C6115D">
        <w:rPr>
          <w:rFonts w:ascii="Arial" w:hAnsi="Arial" w:cs="Arial"/>
        </w:rPr>
        <w:t>The Company has continued</w:t>
      </w:r>
      <w:r w:rsidR="003E1EE1" w:rsidRPr="00C6115D">
        <w:rPr>
          <w:rFonts w:ascii="Arial" w:hAnsi="Arial" w:cs="Arial"/>
        </w:rPr>
        <w:t xml:space="preserve"> to improve its reporting </w:t>
      </w:r>
      <w:r w:rsidRPr="00C6115D">
        <w:rPr>
          <w:rFonts w:ascii="Arial" w:hAnsi="Arial" w:cs="Arial"/>
        </w:rPr>
        <w:t xml:space="preserve">processes </w:t>
      </w:r>
      <w:r w:rsidR="003E1EE1" w:rsidRPr="00C6115D">
        <w:rPr>
          <w:rFonts w:ascii="Arial" w:hAnsi="Arial" w:cs="Arial"/>
        </w:rPr>
        <w:t xml:space="preserve">and </w:t>
      </w:r>
      <w:r w:rsidRPr="00C6115D">
        <w:rPr>
          <w:rFonts w:ascii="Arial" w:hAnsi="Arial" w:cs="Arial"/>
        </w:rPr>
        <w:t xml:space="preserve">related </w:t>
      </w:r>
      <w:r w:rsidR="003E1EE1" w:rsidRPr="00C6115D">
        <w:rPr>
          <w:rFonts w:ascii="Arial" w:hAnsi="Arial" w:cs="Arial"/>
        </w:rPr>
        <w:t xml:space="preserve">controls.  </w:t>
      </w:r>
    </w:p>
    <w:p w:rsidR="003E1EE1" w:rsidRPr="00C6115D" w:rsidRDefault="00B809E5" w:rsidP="00CB10A4">
      <w:pPr>
        <w:pStyle w:val="ListParagraph"/>
        <w:numPr>
          <w:ilvl w:val="0"/>
          <w:numId w:val="3"/>
        </w:numPr>
        <w:spacing w:after="0"/>
        <w:ind w:left="284" w:firstLine="0"/>
        <w:rPr>
          <w:rFonts w:ascii="Arial" w:hAnsi="Arial" w:cs="Arial"/>
        </w:rPr>
      </w:pPr>
      <w:r w:rsidRPr="00C6115D">
        <w:rPr>
          <w:rFonts w:ascii="Arial" w:hAnsi="Arial" w:cs="Arial"/>
        </w:rPr>
        <w:t>There w</w:t>
      </w:r>
      <w:r w:rsidR="003E1EE1" w:rsidRPr="00C6115D">
        <w:rPr>
          <w:rFonts w:ascii="Arial" w:hAnsi="Arial" w:cs="Arial"/>
        </w:rPr>
        <w:t xml:space="preserve">ere </w:t>
      </w:r>
      <w:r w:rsidRPr="00C6115D">
        <w:rPr>
          <w:rFonts w:ascii="Arial" w:hAnsi="Arial" w:cs="Arial"/>
        </w:rPr>
        <w:t xml:space="preserve">no </w:t>
      </w:r>
      <w:r w:rsidR="003E1EE1" w:rsidRPr="00C6115D">
        <w:rPr>
          <w:rFonts w:ascii="Arial" w:hAnsi="Arial" w:cs="Arial"/>
        </w:rPr>
        <w:t xml:space="preserve">reporting processes </w:t>
      </w:r>
      <w:r w:rsidRPr="00C6115D">
        <w:rPr>
          <w:rFonts w:ascii="Arial" w:hAnsi="Arial" w:cs="Arial"/>
        </w:rPr>
        <w:t xml:space="preserve">which </w:t>
      </w:r>
      <w:r w:rsidR="003E1EE1" w:rsidRPr="00C6115D">
        <w:rPr>
          <w:rFonts w:ascii="Arial" w:hAnsi="Arial" w:cs="Arial"/>
        </w:rPr>
        <w:t>had deteriorated significantly</w:t>
      </w:r>
      <w:r w:rsidRPr="00C6115D">
        <w:rPr>
          <w:rFonts w:ascii="Arial" w:hAnsi="Arial" w:cs="Arial"/>
        </w:rPr>
        <w:t>.</w:t>
      </w:r>
    </w:p>
    <w:p w:rsidR="0089230B" w:rsidRDefault="00B809E5" w:rsidP="0089230B">
      <w:pPr>
        <w:pStyle w:val="ListParagraph"/>
        <w:numPr>
          <w:ilvl w:val="0"/>
          <w:numId w:val="3"/>
        </w:numPr>
        <w:spacing w:after="0"/>
        <w:ind w:left="284" w:firstLine="0"/>
        <w:rPr>
          <w:rFonts w:ascii="Arial" w:hAnsi="Arial" w:cs="Arial"/>
        </w:rPr>
      </w:pPr>
      <w:r w:rsidRPr="00C6115D">
        <w:rPr>
          <w:rFonts w:ascii="Arial" w:hAnsi="Arial" w:cs="Arial"/>
        </w:rPr>
        <w:t>Formal documentation of key reporting processes could be improved.</w:t>
      </w:r>
    </w:p>
    <w:p w:rsidR="00723A6B" w:rsidRPr="00723A6B" w:rsidRDefault="00723A6B" w:rsidP="00723A6B">
      <w:pPr>
        <w:pStyle w:val="ListParagraph"/>
        <w:numPr>
          <w:ilvl w:val="0"/>
          <w:numId w:val="3"/>
        </w:numPr>
        <w:spacing w:after="0"/>
        <w:ind w:left="284" w:firstLine="0"/>
        <w:rPr>
          <w:rFonts w:ascii="Arial" w:hAnsi="Arial" w:cs="Arial"/>
        </w:rPr>
      </w:pPr>
      <w:r>
        <w:rPr>
          <w:rFonts w:ascii="Arial" w:hAnsi="Arial" w:cs="Arial"/>
        </w:rPr>
        <w:t>Certain medium and low priority control recommendations</w:t>
      </w:r>
    </w:p>
    <w:p w:rsidR="00A64097" w:rsidRPr="000738B8" w:rsidRDefault="00A64097" w:rsidP="0089230B">
      <w:pPr>
        <w:pStyle w:val="ListParagraph"/>
        <w:spacing w:after="0"/>
        <w:ind w:left="284"/>
        <w:rPr>
          <w:rFonts w:ascii="Arial" w:hAnsi="Arial" w:cs="Arial"/>
        </w:rPr>
      </w:pPr>
    </w:p>
    <w:p w:rsidR="00723A6B" w:rsidRDefault="00723A6B" w:rsidP="000738B8">
      <w:pPr>
        <w:rPr>
          <w:rFonts w:ascii="Arial" w:hAnsi="Arial" w:cs="Arial"/>
        </w:rPr>
      </w:pPr>
      <w:r>
        <w:rPr>
          <w:rFonts w:ascii="Arial" w:hAnsi="Arial" w:cs="Arial"/>
        </w:rPr>
        <w:t>Appendix 1 provides a more detailed summary of audit findings together with the Company response.</w:t>
      </w:r>
    </w:p>
    <w:p w:rsidR="000738B8" w:rsidRDefault="000738B8" w:rsidP="000738B8">
      <w:pPr>
        <w:rPr>
          <w:rFonts w:ascii="Arial" w:hAnsi="Arial" w:cs="Arial"/>
        </w:rPr>
      </w:pPr>
      <w:r w:rsidRPr="000738B8">
        <w:rPr>
          <w:rFonts w:ascii="Arial" w:hAnsi="Arial" w:cs="Arial"/>
        </w:rPr>
        <w:t xml:space="preserve">In previous years </w:t>
      </w:r>
      <w:r w:rsidR="0089230B">
        <w:rPr>
          <w:rFonts w:ascii="Arial" w:hAnsi="Arial" w:cs="Arial"/>
        </w:rPr>
        <w:t xml:space="preserve">the Reporter </w:t>
      </w:r>
      <w:r w:rsidRPr="000738B8">
        <w:rPr>
          <w:rFonts w:ascii="Arial" w:hAnsi="Arial" w:cs="Arial"/>
        </w:rPr>
        <w:t>ha</w:t>
      </w:r>
      <w:r w:rsidR="0089230B">
        <w:rPr>
          <w:rFonts w:ascii="Arial" w:hAnsi="Arial" w:cs="Arial"/>
        </w:rPr>
        <w:t>s</w:t>
      </w:r>
      <w:r w:rsidRPr="000738B8">
        <w:rPr>
          <w:rFonts w:ascii="Arial" w:hAnsi="Arial" w:cs="Arial"/>
        </w:rPr>
        <w:t xml:space="preserve"> noted that the methods used for reporting on leakage are very simplistic, but are well managed and entirely consistent with the way that the PR14 P</w:t>
      </w:r>
      <w:r w:rsidR="0089230B">
        <w:rPr>
          <w:rFonts w:ascii="Arial" w:hAnsi="Arial" w:cs="Arial"/>
        </w:rPr>
        <w:t xml:space="preserve">erformance Commitment </w:t>
      </w:r>
      <w:r w:rsidRPr="000738B8">
        <w:rPr>
          <w:rFonts w:ascii="Arial" w:hAnsi="Arial" w:cs="Arial"/>
        </w:rPr>
        <w:t xml:space="preserve">was set. Similarly, </w:t>
      </w:r>
      <w:r w:rsidR="0089230B">
        <w:rPr>
          <w:rFonts w:ascii="Arial" w:hAnsi="Arial" w:cs="Arial"/>
        </w:rPr>
        <w:t xml:space="preserve">he has </w:t>
      </w:r>
      <w:r w:rsidRPr="000738B8">
        <w:rPr>
          <w:rFonts w:ascii="Arial" w:hAnsi="Arial" w:cs="Arial"/>
        </w:rPr>
        <w:t xml:space="preserve">noted that the PCC reporting method relies on some significant, un-evidenced assumptions that are used to modify the raw data that underpins the unmeasured component of the analysis, but this is again consistent with the way the PC was set. </w:t>
      </w:r>
    </w:p>
    <w:p w:rsidR="000738B8" w:rsidRPr="000738B8" w:rsidRDefault="000738B8" w:rsidP="000738B8">
      <w:pPr>
        <w:rPr>
          <w:rFonts w:ascii="Arial" w:hAnsi="Arial" w:cs="Arial"/>
        </w:rPr>
      </w:pPr>
      <w:r w:rsidRPr="000738B8">
        <w:rPr>
          <w:rFonts w:ascii="Arial" w:hAnsi="Arial" w:cs="Arial"/>
        </w:rPr>
        <w:t xml:space="preserve">However, in both cases the relatively simplistic reporting methods mean that there are relatively large levels of uncertainty about what the ‘true’ figure has been over the past few years, and this has implications for the ‘shadow’ reporting methods for leakage and PCC and the associated PC target setting for PR19. </w:t>
      </w:r>
    </w:p>
    <w:p w:rsidR="00715BC3" w:rsidRDefault="00BB01F9" w:rsidP="00BB01F9">
      <w:pPr>
        <w:pStyle w:val="ListBulletLast"/>
        <w:numPr>
          <w:ilvl w:val="0"/>
          <w:numId w:val="0"/>
        </w:numPr>
        <w:rPr>
          <w:rFonts w:cs="Arial"/>
          <w:color w:val="auto"/>
          <w:sz w:val="22"/>
        </w:rPr>
      </w:pPr>
      <w:r w:rsidRPr="00BB01F9">
        <w:rPr>
          <w:rFonts w:cs="Arial"/>
          <w:color w:val="auto"/>
          <w:sz w:val="22"/>
        </w:rPr>
        <w:lastRenderedPageBreak/>
        <w:t>The C</w:t>
      </w:r>
      <w:r w:rsidR="00DE0F77" w:rsidRPr="00BB01F9">
        <w:rPr>
          <w:rFonts w:cs="Arial"/>
          <w:color w:val="auto"/>
          <w:sz w:val="22"/>
        </w:rPr>
        <w:t xml:space="preserve">ompany also </w:t>
      </w:r>
      <w:r w:rsidR="0089230B">
        <w:rPr>
          <w:rFonts w:cs="Arial"/>
          <w:color w:val="auto"/>
          <w:sz w:val="22"/>
        </w:rPr>
        <w:t xml:space="preserve">requested </w:t>
      </w:r>
      <w:r w:rsidR="00DE0F77" w:rsidRPr="00BB01F9">
        <w:rPr>
          <w:rFonts w:cs="Arial"/>
          <w:color w:val="auto"/>
          <w:sz w:val="22"/>
        </w:rPr>
        <w:t>a review of operational complia</w:t>
      </w:r>
      <w:r w:rsidRPr="00BB01F9">
        <w:rPr>
          <w:rFonts w:cs="Arial"/>
          <w:color w:val="auto"/>
          <w:sz w:val="22"/>
        </w:rPr>
        <w:t xml:space="preserve">nce with the market Operational </w:t>
      </w:r>
      <w:r w:rsidR="00DE0F77" w:rsidRPr="00BB01F9">
        <w:rPr>
          <w:rFonts w:cs="Arial"/>
          <w:color w:val="auto"/>
          <w:sz w:val="22"/>
        </w:rPr>
        <w:t>Code.  Whilst no significant findings were raised the relatively manual nature of many processes was noted as a possible area of risk.  We continue to keep this under review.</w:t>
      </w:r>
      <w:r w:rsidRPr="00BB01F9">
        <w:rPr>
          <w:rFonts w:cs="Arial"/>
          <w:color w:val="auto"/>
          <w:sz w:val="22"/>
        </w:rPr>
        <w:t xml:space="preserve">  Similarly the Reporter reviewed data provided on levels of service to Developers and its reporting inspections carried out under the Water Regulations Advisory Scheme (WRAS)</w:t>
      </w:r>
      <w:r>
        <w:rPr>
          <w:rFonts w:cs="Arial"/>
          <w:color w:val="auto"/>
          <w:sz w:val="22"/>
        </w:rPr>
        <w:t>.</w:t>
      </w:r>
    </w:p>
    <w:p w:rsidR="00A64097" w:rsidRDefault="00611060" w:rsidP="00CB10A4">
      <w:pPr>
        <w:spacing w:after="0"/>
        <w:rPr>
          <w:rFonts w:ascii="Arial" w:hAnsi="Arial" w:cs="Arial"/>
        </w:rPr>
      </w:pPr>
      <w:r w:rsidRPr="00C6115D">
        <w:rPr>
          <w:rFonts w:ascii="Arial" w:hAnsi="Arial" w:cs="Arial"/>
        </w:rPr>
        <w:t xml:space="preserve">In addition to the results of assurance summarised above Ofwat also provided feedback to the company </w:t>
      </w:r>
      <w:r w:rsidR="005505DD">
        <w:rPr>
          <w:rFonts w:ascii="Arial" w:hAnsi="Arial" w:cs="Arial"/>
        </w:rPr>
        <w:t>in 201</w:t>
      </w:r>
      <w:r w:rsidR="00B6771B">
        <w:rPr>
          <w:rFonts w:ascii="Arial" w:hAnsi="Arial" w:cs="Arial"/>
        </w:rPr>
        <w:t>7</w:t>
      </w:r>
      <w:r w:rsidR="005505DD">
        <w:rPr>
          <w:rFonts w:ascii="Arial" w:hAnsi="Arial" w:cs="Arial"/>
        </w:rPr>
        <w:t xml:space="preserve"> </w:t>
      </w:r>
      <w:r w:rsidR="00646F55" w:rsidRPr="00C6115D">
        <w:rPr>
          <w:rFonts w:ascii="Arial" w:hAnsi="Arial" w:cs="Arial"/>
        </w:rPr>
        <w:t>as part of the Company</w:t>
      </w:r>
      <w:r w:rsidRPr="00C6115D">
        <w:rPr>
          <w:rFonts w:ascii="Arial" w:hAnsi="Arial" w:cs="Arial"/>
        </w:rPr>
        <w:t xml:space="preserve"> Monitoring Framework.</w:t>
      </w:r>
      <w:r w:rsidR="0029312A" w:rsidRPr="00C6115D">
        <w:rPr>
          <w:rFonts w:ascii="Arial" w:hAnsi="Arial" w:cs="Arial"/>
        </w:rPr>
        <w:t xml:space="preserve">  Whilst the company retained an overall assessment of </w:t>
      </w:r>
      <w:r w:rsidR="00646F55" w:rsidRPr="00C6115D">
        <w:rPr>
          <w:rFonts w:ascii="Arial" w:hAnsi="Arial" w:cs="Arial"/>
        </w:rPr>
        <w:t xml:space="preserve">“targeted assurance” one area of Ofwat’s assessment to the </w:t>
      </w:r>
      <w:r w:rsidR="009914AA">
        <w:rPr>
          <w:rFonts w:ascii="Arial" w:hAnsi="Arial" w:cs="Arial"/>
        </w:rPr>
        <w:t xml:space="preserve">Draft Audit Plan </w:t>
      </w:r>
      <w:r w:rsidR="00646F55" w:rsidRPr="00C6115D">
        <w:rPr>
          <w:rFonts w:ascii="Arial" w:hAnsi="Arial" w:cs="Arial"/>
        </w:rPr>
        <w:t xml:space="preserve">was identified as having “serious concerns”.  </w:t>
      </w:r>
    </w:p>
    <w:p w:rsidR="00A64097" w:rsidRDefault="00A64097" w:rsidP="00CB10A4">
      <w:pPr>
        <w:spacing w:after="0"/>
        <w:rPr>
          <w:rFonts w:ascii="Arial" w:hAnsi="Arial" w:cs="Arial"/>
        </w:rPr>
      </w:pPr>
    </w:p>
    <w:p w:rsidR="00A71052" w:rsidRDefault="00646F55" w:rsidP="00CB10A4">
      <w:pPr>
        <w:spacing w:after="0"/>
        <w:rPr>
          <w:rFonts w:ascii="Arial" w:hAnsi="Arial" w:cs="Arial"/>
          <w:b/>
        </w:rPr>
      </w:pPr>
      <w:r w:rsidRPr="00C6115D">
        <w:rPr>
          <w:rFonts w:ascii="Arial" w:hAnsi="Arial" w:cs="Arial"/>
        </w:rPr>
        <w:t>The Company review</w:t>
      </w:r>
      <w:r w:rsidR="005505DD">
        <w:rPr>
          <w:rFonts w:ascii="Arial" w:hAnsi="Arial" w:cs="Arial"/>
        </w:rPr>
        <w:t>ed</w:t>
      </w:r>
      <w:r w:rsidRPr="00C6115D">
        <w:rPr>
          <w:rFonts w:ascii="Arial" w:hAnsi="Arial" w:cs="Arial"/>
        </w:rPr>
        <w:t xml:space="preserve"> and address</w:t>
      </w:r>
      <w:r w:rsidR="005505DD">
        <w:rPr>
          <w:rFonts w:ascii="Arial" w:hAnsi="Arial" w:cs="Arial"/>
        </w:rPr>
        <w:t>ed</w:t>
      </w:r>
      <w:r w:rsidRPr="00C6115D">
        <w:rPr>
          <w:rFonts w:ascii="Arial" w:hAnsi="Arial" w:cs="Arial"/>
        </w:rPr>
        <w:t xml:space="preserve"> each of the observations made by Ofwat as part of our process of continuous improvement</w:t>
      </w:r>
      <w:r w:rsidR="005505DD">
        <w:rPr>
          <w:rFonts w:ascii="Arial" w:hAnsi="Arial" w:cs="Arial"/>
        </w:rPr>
        <w:t xml:space="preserve"> and will continue to carefully consider and respond to any further regulatory feedback.</w:t>
      </w:r>
      <w:r w:rsidR="005505DD">
        <w:rPr>
          <w:rFonts w:ascii="Arial" w:hAnsi="Arial" w:cs="Arial"/>
          <w:b/>
        </w:rPr>
        <w:t xml:space="preserve"> </w:t>
      </w:r>
      <w:r w:rsidR="00A71052">
        <w:rPr>
          <w:rFonts w:ascii="Arial" w:hAnsi="Arial" w:cs="Arial"/>
          <w:b/>
        </w:rPr>
        <w:br w:type="page"/>
      </w:r>
    </w:p>
    <w:p w:rsidR="00B809E5" w:rsidRPr="00C6115D" w:rsidRDefault="00476849" w:rsidP="00CB10A4">
      <w:pPr>
        <w:spacing w:after="0"/>
        <w:rPr>
          <w:rFonts w:ascii="Arial" w:hAnsi="Arial" w:cs="Arial"/>
          <w:b/>
        </w:rPr>
      </w:pPr>
      <w:r>
        <w:rPr>
          <w:rFonts w:ascii="Arial" w:hAnsi="Arial" w:cs="Arial"/>
          <w:b/>
        </w:rPr>
        <w:lastRenderedPageBreak/>
        <w:t xml:space="preserve">3. </w:t>
      </w:r>
      <w:r w:rsidR="00DA2181" w:rsidRPr="00C6115D">
        <w:rPr>
          <w:rFonts w:ascii="Arial" w:hAnsi="Arial" w:cs="Arial"/>
          <w:b/>
        </w:rPr>
        <w:t>Governance</w:t>
      </w:r>
    </w:p>
    <w:p w:rsidR="00CB10A4" w:rsidRDefault="00CB10A4" w:rsidP="00CB10A4">
      <w:pPr>
        <w:spacing w:after="0"/>
        <w:rPr>
          <w:rFonts w:ascii="Arial" w:hAnsi="Arial" w:cs="Arial"/>
        </w:rPr>
      </w:pPr>
    </w:p>
    <w:p w:rsidR="00520B21" w:rsidRDefault="00DA2181" w:rsidP="00CB10A4">
      <w:pPr>
        <w:spacing w:after="0"/>
        <w:rPr>
          <w:rFonts w:ascii="Arial" w:hAnsi="Arial" w:cs="Arial"/>
        </w:rPr>
      </w:pPr>
      <w:r w:rsidRPr="00C6115D">
        <w:rPr>
          <w:rFonts w:ascii="Arial" w:hAnsi="Arial" w:cs="Arial"/>
        </w:rPr>
        <w:t xml:space="preserve">At each stage of the Data Assurance cycle there is full engagement and oversight at the Audit Committee and Board level with the Board taking overall responsibility for approval of information published by the Company as part of reporting processes.  </w:t>
      </w:r>
    </w:p>
    <w:p w:rsidR="00D23C71" w:rsidRDefault="00D23C71" w:rsidP="00CB10A4">
      <w:pPr>
        <w:spacing w:after="0"/>
        <w:rPr>
          <w:rFonts w:ascii="Arial" w:hAnsi="Arial" w:cs="Arial"/>
        </w:rPr>
      </w:pPr>
    </w:p>
    <w:p w:rsidR="00D23C71" w:rsidRDefault="00D23C71" w:rsidP="00CB10A4">
      <w:pPr>
        <w:spacing w:after="0"/>
        <w:rPr>
          <w:rFonts w:ascii="Arial" w:hAnsi="Arial" w:cs="Arial"/>
        </w:rPr>
      </w:pPr>
      <w:r>
        <w:rPr>
          <w:rFonts w:ascii="Arial" w:hAnsi="Arial" w:cs="Arial"/>
        </w:rPr>
        <w:t xml:space="preserve">The Audit Committee also meets with </w:t>
      </w:r>
      <w:r w:rsidR="00A33B94">
        <w:rPr>
          <w:rFonts w:ascii="Arial" w:hAnsi="Arial" w:cs="Arial"/>
        </w:rPr>
        <w:t xml:space="preserve">KPMG </w:t>
      </w:r>
      <w:r>
        <w:rPr>
          <w:rFonts w:ascii="Arial" w:hAnsi="Arial" w:cs="Arial"/>
        </w:rPr>
        <w:t>and Atkins to receive and consider the results of their work, as summarise in section 2 above.</w:t>
      </w:r>
    </w:p>
    <w:p w:rsidR="00520B21" w:rsidRDefault="00520B21" w:rsidP="00CB10A4">
      <w:pPr>
        <w:spacing w:after="0"/>
        <w:rPr>
          <w:rFonts w:ascii="Arial" w:hAnsi="Arial" w:cs="Arial"/>
        </w:rPr>
      </w:pPr>
    </w:p>
    <w:p w:rsidR="00DA2181" w:rsidRPr="004E50CA" w:rsidRDefault="00DA2181" w:rsidP="00CB10A4">
      <w:pPr>
        <w:spacing w:after="0"/>
        <w:rPr>
          <w:rFonts w:ascii="Arial" w:hAnsi="Arial" w:cs="Arial"/>
        </w:rPr>
      </w:pPr>
      <w:r w:rsidRPr="004E50CA">
        <w:rPr>
          <w:rFonts w:ascii="Arial" w:hAnsi="Arial" w:cs="Arial"/>
        </w:rPr>
        <w:t>The following summarise</w:t>
      </w:r>
      <w:r w:rsidR="00520B21" w:rsidRPr="004E50CA">
        <w:rPr>
          <w:rFonts w:ascii="Arial" w:hAnsi="Arial" w:cs="Arial"/>
        </w:rPr>
        <w:t>s</w:t>
      </w:r>
      <w:r w:rsidRPr="004E50CA">
        <w:rPr>
          <w:rFonts w:ascii="Arial" w:hAnsi="Arial" w:cs="Arial"/>
        </w:rPr>
        <w:t xml:space="preserve"> the formal approval processes involved;</w:t>
      </w:r>
    </w:p>
    <w:p w:rsidR="00CB10A4" w:rsidRPr="004E50CA" w:rsidRDefault="00CB10A4" w:rsidP="00CB10A4">
      <w:pPr>
        <w:spacing w:after="0"/>
        <w:rPr>
          <w:rFonts w:ascii="Arial" w:hAnsi="Arial" w:cs="Arial"/>
        </w:rPr>
      </w:pPr>
    </w:p>
    <w:p w:rsidR="00195606" w:rsidRPr="004E50CA" w:rsidRDefault="00195606" w:rsidP="00D23C71">
      <w:pPr>
        <w:pStyle w:val="ListParagraph"/>
        <w:autoSpaceDE w:val="0"/>
        <w:autoSpaceDN w:val="0"/>
        <w:adjustRightInd w:val="0"/>
        <w:spacing w:after="0" w:line="240" w:lineRule="auto"/>
        <w:rPr>
          <w:rFonts w:ascii="Arial" w:hAnsi="Arial" w:cs="Arial"/>
        </w:rPr>
      </w:pPr>
      <w:r w:rsidRPr="004E50CA">
        <w:rPr>
          <w:rFonts w:ascii="Arial" w:hAnsi="Arial" w:cs="Arial"/>
        </w:rPr>
        <w:t xml:space="preserve">a) Statement of Risks, Strengths and Weaknesses of our data was approved by the Board </w:t>
      </w:r>
      <w:r w:rsidR="00A64097" w:rsidRPr="004E50CA">
        <w:rPr>
          <w:rFonts w:ascii="Arial" w:hAnsi="Arial" w:cs="Arial"/>
        </w:rPr>
        <w:t>i</w:t>
      </w:r>
      <w:r w:rsidRPr="004E50CA">
        <w:rPr>
          <w:rFonts w:ascii="Arial" w:hAnsi="Arial" w:cs="Arial"/>
        </w:rPr>
        <w:t xml:space="preserve">n </w:t>
      </w:r>
      <w:r w:rsidR="009914AA" w:rsidRPr="004E50CA">
        <w:rPr>
          <w:rFonts w:ascii="Arial" w:hAnsi="Arial" w:cs="Arial"/>
        </w:rPr>
        <w:t xml:space="preserve">November </w:t>
      </w:r>
      <w:r w:rsidR="005505DD" w:rsidRPr="004E50CA">
        <w:rPr>
          <w:rFonts w:ascii="Arial" w:hAnsi="Arial" w:cs="Arial"/>
        </w:rPr>
        <w:t>201</w:t>
      </w:r>
      <w:r w:rsidR="009914AA" w:rsidRPr="004E50CA">
        <w:rPr>
          <w:rFonts w:ascii="Arial" w:hAnsi="Arial" w:cs="Arial"/>
        </w:rPr>
        <w:t>7</w:t>
      </w:r>
      <w:r w:rsidRPr="004E50CA">
        <w:rPr>
          <w:rFonts w:ascii="Arial" w:hAnsi="Arial" w:cs="Arial"/>
        </w:rPr>
        <w:t>.</w:t>
      </w:r>
    </w:p>
    <w:p w:rsidR="00195606" w:rsidRPr="004E50CA" w:rsidRDefault="00195606" w:rsidP="00D23C71">
      <w:pPr>
        <w:pStyle w:val="ListParagraph"/>
        <w:autoSpaceDE w:val="0"/>
        <w:autoSpaceDN w:val="0"/>
        <w:adjustRightInd w:val="0"/>
        <w:spacing w:after="0" w:line="240" w:lineRule="auto"/>
        <w:rPr>
          <w:rFonts w:ascii="Arial" w:hAnsi="Arial" w:cs="Arial"/>
        </w:rPr>
      </w:pPr>
    </w:p>
    <w:p w:rsidR="00195606" w:rsidRPr="004E50CA" w:rsidRDefault="00195606" w:rsidP="00D23C71">
      <w:pPr>
        <w:pStyle w:val="ListParagraph"/>
        <w:autoSpaceDE w:val="0"/>
        <w:autoSpaceDN w:val="0"/>
        <w:adjustRightInd w:val="0"/>
        <w:spacing w:after="0" w:line="240" w:lineRule="auto"/>
        <w:rPr>
          <w:rFonts w:ascii="Arial" w:hAnsi="Arial" w:cs="Arial"/>
        </w:rPr>
      </w:pPr>
      <w:r w:rsidRPr="004E50CA">
        <w:rPr>
          <w:rFonts w:ascii="Arial" w:hAnsi="Arial" w:cs="Arial"/>
        </w:rPr>
        <w:t xml:space="preserve">b) Draft Audit Plan was approved by the Board </w:t>
      </w:r>
      <w:r w:rsidR="00D2277E" w:rsidRPr="004E50CA">
        <w:rPr>
          <w:rFonts w:ascii="Arial" w:hAnsi="Arial" w:cs="Arial"/>
        </w:rPr>
        <w:t>i</w:t>
      </w:r>
      <w:r w:rsidRPr="004E50CA">
        <w:rPr>
          <w:rFonts w:ascii="Arial" w:hAnsi="Arial" w:cs="Arial"/>
        </w:rPr>
        <w:t>n January 201</w:t>
      </w:r>
      <w:r w:rsidR="009914AA" w:rsidRPr="004E50CA">
        <w:rPr>
          <w:rFonts w:ascii="Arial" w:hAnsi="Arial" w:cs="Arial"/>
        </w:rPr>
        <w:t>8</w:t>
      </w:r>
      <w:r w:rsidRPr="004E50CA">
        <w:rPr>
          <w:rFonts w:ascii="Arial" w:hAnsi="Arial" w:cs="Arial"/>
        </w:rPr>
        <w:t xml:space="preserve"> </w:t>
      </w:r>
    </w:p>
    <w:p w:rsidR="00195606" w:rsidRPr="004E50CA" w:rsidRDefault="00195606" w:rsidP="00D23C71">
      <w:pPr>
        <w:pStyle w:val="ListParagraph"/>
        <w:autoSpaceDE w:val="0"/>
        <w:autoSpaceDN w:val="0"/>
        <w:adjustRightInd w:val="0"/>
        <w:spacing w:after="0" w:line="240" w:lineRule="auto"/>
        <w:rPr>
          <w:rFonts w:ascii="Arial" w:hAnsi="Arial" w:cs="Arial"/>
        </w:rPr>
      </w:pPr>
    </w:p>
    <w:p w:rsidR="00195606" w:rsidRPr="004E50CA" w:rsidRDefault="00195606" w:rsidP="00D23C71">
      <w:pPr>
        <w:pStyle w:val="ListParagraph"/>
        <w:autoSpaceDE w:val="0"/>
        <w:autoSpaceDN w:val="0"/>
        <w:adjustRightInd w:val="0"/>
        <w:spacing w:after="0" w:line="240" w:lineRule="auto"/>
        <w:rPr>
          <w:rFonts w:ascii="Arial" w:hAnsi="Arial" w:cs="Arial"/>
        </w:rPr>
      </w:pPr>
      <w:r w:rsidRPr="004E50CA">
        <w:rPr>
          <w:rFonts w:ascii="Arial" w:hAnsi="Arial" w:cs="Arial"/>
        </w:rPr>
        <w:t xml:space="preserve">c) Final Audit Plan was approved by the Board </w:t>
      </w:r>
      <w:r w:rsidR="00D2277E" w:rsidRPr="004E50CA">
        <w:rPr>
          <w:rFonts w:ascii="Arial" w:hAnsi="Arial" w:cs="Arial"/>
        </w:rPr>
        <w:t>i</w:t>
      </w:r>
      <w:r w:rsidRPr="004E50CA">
        <w:rPr>
          <w:rFonts w:ascii="Arial" w:hAnsi="Arial" w:cs="Arial"/>
        </w:rPr>
        <w:t>n February 201</w:t>
      </w:r>
      <w:r w:rsidR="009914AA" w:rsidRPr="004E50CA">
        <w:rPr>
          <w:rFonts w:ascii="Arial" w:hAnsi="Arial" w:cs="Arial"/>
        </w:rPr>
        <w:t>8</w:t>
      </w:r>
      <w:r w:rsidRPr="004E50CA">
        <w:rPr>
          <w:rFonts w:ascii="Arial" w:hAnsi="Arial" w:cs="Arial"/>
        </w:rPr>
        <w:t xml:space="preserve"> </w:t>
      </w:r>
    </w:p>
    <w:p w:rsidR="00195606" w:rsidRPr="004E50CA" w:rsidRDefault="00195606" w:rsidP="00CB10A4">
      <w:pPr>
        <w:spacing w:after="0"/>
        <w:rPr>
          <w:rFonts w:ascii="Arial" w:hAnsi="Arial" w:cs="Arial"/>
        </w:rPr>
      </w:pPr>
    </w:p>
    <w:p w:rsidR="00DA2181" w:rsidRPr="004E50CA" w:rsidRDefault="00DA2181" w:rsidP="00CB10A4">
      <w:pPr>
        <w:spacing w:after="0"/>
        <w:rPr>
          <w:rFonts w:ascii="Arial" w:hAnsi="Arial" w:cs="Arial"/>
        </w:rPr>
      </w:pPr>
      <w:r w:rsidRPr="004E50CA">
        <w:rPr>
          <w:rFonts w:ascii="Arial" w:hAnsi="Arial" w:cs="Arial"/>
        </w:rPr>
        <w:t>In addition the following key documents are approved and signed at the Board level;</w:t>
      </w:r>
    </w:p>
    <w:p w:rsidR="00CB10A4" w:rsidRPr="004E50CA" w:rsidRDefault="00CB10A4" w:rsidP="00CB10A4">
      <w:pPr>
        <w:spacing w:after="0"/>
        <w:rPr>
          <w:rFonts w:ascii="Arial" w:hAnsi="Arial" w:cs="Arial"/>
        </w:rPr>
      </w:pPr>
    </w:p>
    <w:p w:rsidR="00CB10A4" w:rsidRPr="004E50CA" w:rsidRDefault="00B43048" w:rsidP="00CB10A4">
      <w:pPr>
        <w:pStyle w:val="ListParagraph"/>
        <w:numPr>
          <w:ilvl w:val="0"/>
          <w:numId w:val="2"/>
        </w:numPr>
        <w:spacing w:after="0"/>
        <w:ind w:left="0" w:firstLine="0"/>
        <w:rPr>
          <w:rFonts w:ascii="Arial" w:hAnsi="Arial" w:cs="Arial"/>
        </w:rPr>
      </w:pPr>
      <w:r w:rsidRPr="004E50CA">
        <w:rPr>
          <w:rFonts w:ascii="Arial" w:hAnsi="Arial" w:cs="Arial"/>
        </w:rPr>
        <w:t xml:space="preserve">Annual Report and Accounts </w:t>
      </w:r>
      <w:r w:rsidR="00723A6B">
        <w:rPr>
          <w:rFonts w:ascii="Arial" w:hAnsi="Arial" w:cs="Arial"/>
        </w:rPr>
        <w:t>- 24</w:t>
      </w:r>
      <w:r w:rsidR="00D2277E" w:rsidRPr="004E50CA">
        <w:rPr>
          <w:rFonts w:ascii="Arial" w:hAnsi="Arial" w:cs="Arial"/>
        </w:rPr>
        <w:t xml:space="preserve"> May 201</w:t>
      </w:r>
      <w:r w:rsidR="009914AA" w:rsidRPr="004E50CA">
        <w:rPr>
          <w:rFonts w:ascii="Arial" w:hAnsi="Arial" w:cs="Arial"/>
        </w:rPr>
        <w:t>8</w:t>
      </w:r>
    </w:p>
    <w:p w:rsidR="00CB10A4" w:rsidRPr="004E50CA" w:rsidRDefault="00B43048" w:rsidP="00CB10A4">
      <w:pPr>
        <w:pStyle w:val="ListParagraph"/>
        <w:numPr>
          <w:ilvl w:val="0"/>
          <w:numId w:val="2"/>
        </w:numPr>
        <w:spacing w:after="0"/>
        <w:ind w:left="0" w:firstLine="0"/>
        <w:rPr>
          <w:rFonts w:ascii="Arial" w:hAnsi="Arial" w:cs="Arial"/>
        </w:rPr>
      </w:pPr>
      <w:r w:rsidRPr="004E50CA">
        <w:rPr>
          <w:rFonts w:ascii="Arial" w:hAnsi="Arial" w:cs="Arial"/>
        </w:rPr>
        <w:t xml:space="preserve">Annual Performance Report – Statements &amp; Responsibilities including statement on </w:t>
      </w:r>
    </w:p>
    <w:p w:rsidR="00B43048" w:rsidRPr="004E50CA" w:rsidRDefault="00B43048" w:rsidP="00CB10A4">
      <w:pPr>
        <w:pStyle w:val="ListParagraph"/>
        <w:spacing w:after="0"/>
        <w:ind w:left="0" w:firstLine="720"/>
        <w:rPr>
          <w:rFonts w:ascii="Arial" w:hAnsi="Arial" w:cs="Arial"/>
        </w:rPr>
      </w:pPr>
      <w:r w:rsidRPr="004E50CA">
        <w:rPr>
          <w:rFonts w:ascii="Arial" w:hAnsi="Arial" w:cs="Arial"/>
        </w:rPr>
        <w:t>Risk &amp; Compliance – signed by Board members –</w:t>
      </w:r>
      <w:r w:rsidR="00195606" w:rsidRPr="004E50CA">
        <w:rPr>
          <w:rFonts w:ascii="Arial" w:hAnsi="Arial" w:cs="Arial"/>
        </w:rPr>
        <w:t xml:space="preserve"> </w:t>
      </w:r>
      <w:r w:rsidR="00D2277E" w:rsidRPr="004E50CA">
        <w:rPr>
          <w:rFonts w:ascii="Arial" w:hAnsi="Arial" w:cs="Arial"/>
        </w:rPr>
        <w:t>12</w:t>
      </w:r>
      <w:r w:rsidR="00195606" w:rsidRPr="004E50CA">
        <w:rPr>
          <w:rFonts w:ascii="Arial" w:hAnsi="Arial" w:cs="Arial"/>
        </w:rPr>
        <w:t xml:space="preserve"> July </w:t>
      </w:r>
      <w:r w:rsidR="00D2277E" w:rsidRPr="004E50CA">
        <w:rPr>
          <w:rFonts w:ascii="Arial" w:hAnsi="Arial" w:cs="Arial"/>
        </w:rPr>
        <w:t>201</w:t>
      </w:r>
      <w:r w:rsidR="009914AA" w:rsidRPr="004E50CA">
        <w:rPr>
          <w:rFonts w:ascii="Arial" w:hAnsi="Arial" w:cs="Arial"/>
        </w:rPr>
        <w:t>8</w:t>
      </w:r>
    </w:p>
    <w:p w:rsidR="00B43048" w:rsidRPr="004E50CA" w:rsidRDefault="00B43048" w:rsidP="00CB10A4">
      <w:pPr>
        <w:pStyle w:val="ListParagraph"/>
        <w:numPr>
          <w:ilvl w:val="0"/>
          <w:numId w:val="2"/>
        </w:numPr>
        <w:spacing w:after="0"/>
        <w:ind w:left="0" w:firstLine="0"/>
        <w:rPr>
          <w:rFonts w:ascii="Arial" w:hAnsi="Arial" w:cs="Arial"/>
        </w:rPr>
      </w:pPr>
      <w:r w:rsidRPr="004E50CA">
        <w:rPr>
          <w:rFonts w:ascii="Arial" w:hAnsi="Arial" w:cs="Arial"/>
        </w:rPr>
        <w:t>ODI Report – 12 July 201</w:t>
      </w:r>
      <w:r w:rsidR="009914AA" w:rsidRPr="004E50CA">
        <w:rPr>
          <w:rFonts w:ascii="Arial" w:hAnsi="Arial" w:cs="Arial"/>
        </w:rPr>
        <w:t>8</w:t>
      </w:r>
      <w:r w:rsidRPr="004E50CA">
        <w:rPr>
          <w:rFonts w:ascii="Arial" w:hAnsi="Arial" w:cs="Arial"/>
        </w:rPr>
        <w:t xml:space="preserve"> </w:t>
      </w:r>
    </w:p>
    <w:p w:rsidR="00CB10A4" w:rsidRPr="004E50CA" w:rsidRDefault="00CB10A4" w:rsidP="00CB10A4">
      <w:pPr>
        <w:spacing w:after="0"/>
        <w:rPr>
          <w:rFonts w:ascii="Arial" w:hAnsi="Arial" w:cs="Arial"/>
        </w:rPr>
      </w:pPr>
    </w:p>
    <w:p w:rsidR="000E7F43" w:rsidRPr="00C6115D" w:rsidRDefault="000E7F43" w:rsidP="00CB10A4">
      <w:pPr>
        <w:spacing w:after="0"/>
        <w:rPr>
          <w:rFonts w:ascii="Arial" w:hAnsi="Arial" w:cs="Arial"/>
        </w:rPr>
      </w:pPr>
      <w:r w:rsidRPr="004E50CA">
        <w:rPr>
          <w:rFonts w:ascii="Arial" w:hAnsi="Arial" w:cs="Arial"/>
        </w:rPr>
        <w:t xml:space="preserve">As also noted above the CCG are given an opportunity to review and comment on the documents above and the CCG provided a statement as part of the annual ODI report.  </w:t>
      </w:r>
      <w:r w:rsidR="00D2277E" w:rsidRPr="004E50CA">
        <w:rPr>
          <w:rFonts w:ascii="Arial" w:hAnsi="Arial" w:cs="Arial"/>
        </w:rPr>
        <w:t>We consider t</w:t>
      </w:r>
      <w:r w:rsidRPr="004E50CA">
        <w:rPr>
          <w:rFonts w:ascii="Arial" w:hAnsi="Arial" w:cs="Arial"/>
        </w:rPr>
        <w:t>his is an important element of external scrutiny.</w:t>
      </w:r>
    </w:p>
    <w:p w:rsidR="00C6115D" w:rsidRPr="00C6115D" w:rsidRDefault="00C6115D" w:rsidP="00CB10A4">
      <w:pPr>
        <w:spacing w:after="0"/>
        <w:rPr>
          <w:rFonts w:ascii="Arial" w:hAnsi="Arial" w:cs="Arial"/>
          <w:b/>
        </w:rPr>
      </w:pPr>
      <w:r w:rsidRPr="00C6115D">
        <w:rPr>
          <w:rFonts w:ascii="Arial" w:hAnsi="Arial" w:cs="Arial"/>
          <w:b/>
        </w:rPr>
        <w:br w:type="page"/>
      </w:r>
    </w:p>
    <w:p w:rsidR="00B43048" w:rsidRDefault="00476849" w:rsidP="00CB10A4">
      <w:pPr>
        <w:spacing w:after="0"/>
        <w:rPr>
          <w:rFonts w:ascii="Arial" w:hAnsi="Arial" w:cs="Arial"/>
          <w:b/>
        </w:rPr>
      </w:pPr>
      <w:r>
        <w:rPr>
          <w:rFonts w:ascii="Arial" w:hAnsi="Arial" w:cs="Arial"/>
          <w:b/>
        </w:rPr>
        <w:lastRenderedPageBreak/>
        <w:t xml:space="preserve">4. </w:t>
      </w:r>
      <w:r w:rsidR="00C6115D" w:rsidRPr="00C6115D">
        <w:rPr>
          <w:rFonts w:ascii="Arial" w:hAnsi="Arial" w:cs="Arial"/>
          <w:b/>
        </w:rPr>
        <w:t>Board Compliance Statement</w:t>
      </w:r>
    </w:p>
    <w:p w:rsidR="00476849" w:rsidRDefault="00476849" w:rsidP="00CB10A4">
      <w:pPr>
        <w:spacing w:after="0"/>
        <w:rPr>
          <w:rFonts w:ascii="Arial" w:hAnsi="Arial" w:cs="Arial"/>
          <w:b/>
        </w:rPr>
      </w:pPr>
    </w:p>
    <w:p w:rsidR="006C4BF2" w:rsidRDefault="006C4BF2" w:rsidP="00CB10A4">
      <w:pPr>
        <w:spacing w:after="0"/>
        <w:rPr>
          <w:rFonts w:ascii="Arial" w:hAnsi="Arial" w:cs="Arial"/>
        </w:rPr>
      </w:pPr>
      <w:r>
        <w:rPr>
          <w:rFonts w:ascii="Arial" w:hAnsi="Arial" w:cs="Arial"/>
        </w:rPr>
        <w:t>Our Company Monitoring Framework describes our approach to reporting and assurance of information.  A summary of the process we followed in 201</w:t>
      </w:r>
      <w:r w:rsidR="00D2277E">
        <w:rPr>
          <w:rFonts w:ascii="Arial" w:hAnsi="Arial" w:cs="Arial"/>
        </w:rPr>
        <w:t>6</w:t>
      </w:r>
      <w:r>
        <w:rPr>
          <w:rFonts w:ascii="Arial" w:hAnsi="Arial" w:cs="Arial"/>
        </w:rPr>
        <w:t>/1</w:t>
      </w:r>
      <w:r w:rsidR="00D2277E">
        <w:rPr>
          <w:rFonts w:ascii="Arial" w:hAnsi="Arial" w:cs="Arial"/>
        </w:rPr>
        <w:t>7</w:t>
      </w:r>
      <w:r>
        <w:rPr>
          <w:rFonts w:ascii="Arial" w:hAnsi="Arial" w:cs="Arial"/>
        </w:rPr>
        <w:t xml:space="preserve"> to assure the quality of our reporting is set out in Data Assurance Summary.</w:t>
      </w:r>
    </w:p>
    <w:p w:rsidR="00CB10A4" w:rsidRDefault="00CB10A4" w:rsidP="00CB10A4">
      <w:pPr>
        <w:spacing w:after="0"/>
        <w:rPr>
          <w:rFonts w:ascii="Arial" w:hAnsi="Arial" w:cs="Arial"/>
        </w:rPr>
      </w:pPr>
    </w:p>
    <w:p w:rsidR="006C4BF2" w:rsidRDefault="006C4BF2" w:rsidP="00CB10A4">
      <w:pPr>
        <w:spacing w:after="0"/>
        <w:rPr>
          <w:rFonts w:ascii="Arial" w:hAnsi="Arial" w:cs="Arial"/>
        </w:rPr>
      </w:pPr>
      <w:r>
        <w:rPr>
          <w:rFonts w:ascii="Arial" w:hAnsi="Arial" w:cs="Arial"/>
        </w:rPr>
        <w:t>For the preparation of this statement we have considered compliance with our statutory, regulatory and Licence obligations, particularly those considered by our annual reviews as set out above.</w:t>
      </w:r>
    </w:p>
    <w:p w:rsidR="00CB10A4" w:rsidRDefault="00CB10A4" w:rsidP="00CB10A4">
      <w:pPr>
        <w:spacing w:after="0"/>
        <w:rPr>
          <w:rFonts w:ascii="Arial" w:hAnsi="Arial" w:cs="Arial"/>
        </w:rPr>
      </w:pPr>
    </w:p>
    <w:p w:rsidR="006C4BF2" w:rsidRDefault="006C4BF2" w:rsidP="00CB10A4">
      <w:pPr>
        <w:spacing w:after="0"/>
        <w:rPr>
          <w:rFonts w:ascii="Arial" w:hAnsi="Arial" w:cs="Arial"/>
        </w:rPr>
      </w:pPr>
      <w:r>
        <w:rPr>
          <w:rFonts w:ascii="Arial" w:hAnsi="Arial" w:cs="Arial"/>
        </w:rPr>
        <w:t xml:space="preserve">Our annual reviews have not identified </w:t>
      </w:r>
      <w:r w:rsidR="0037268B">
        <w:rPr>
          <w:rFonts w:ascii="Arial" w:hAnsi="Arial" w:cs="Arial"/>
        </w:rPr>
        <w:t>any material derivation from or non-compliance with these obligations and to the best of the Board’s knowledge after reasonable enquiries Portsmouth Water has compiled in all material respects with these obligations and is taking appropriate steps to manage and / or mitigate the risks it faces.</w:t>
      </w:r>
    </w:p>
    <w:p w:rsidR="00CB10A4" w:rsidRDefault="00CB10A4" w:rsidP="00CB10A4">
      <w:pPr>
        <w:spacing w:after="0"/>
        <w:rPr>
          <w:rFonts w:ascii="Arial" w:hAnsi="Arial" w:cs="Arial"/>
        </w:rPr>
      </w:pPr>
    </w:p>
    <w:p w:rsidR="00A71052" w:rsidRDefault="0037268B" w:rsidP="00CB10A4">
      <w:pPr>
        <w:spacing w:after="0"/>
        <w:rPr>
          <w:rFonts w:ascii="Arial" w:hAnsi="Arial" w:cs="Arial"/>
        </w:rPr>
      </w:pPr>
      <w:r>
        <w:rPr>
          <w:rFonts w:ascii="Arial" w:hAnsi="Arial" w:cs="Arial"/>
        </w:rPr>
        <w:t>In making this statement we have taken account of the other statements made in compliance with our obligations under conditions F and K of our licence</w:t>
      </w:r>
      <w:r w:rsidR="00A71052">
        <w:rPr>
          <w:rFonts w:ascii="Arial" w:hAnsi="Arial" w:cs="Arial"/>
        </w:rPr>
        <w:t xml:space="preserve"> and under section 35A of the Water Industry Act 1991.</w:t>
      </w:r>
    </w:p>
    <w:p w:rsidR="00CB10A4" w:rsidRDefault="00CB10A4" w:rsidP="00CB10A4">
      <w:pPr>
        <w:spacing w:after="0"/>
        <w:rPr>
          <w:rFonts w:ascii="Arial" w:hAnsi="Arial" w:cs="Arial"/>
        </w:rPr>
      </w:pPr>
    </w:p>
    <w:p w:rsidR="00A71052" w:rsidRDefault="00A71052" w:rsidP="00CB10A4">
      <w:pPr>
        <w:spacing w:after="0"/>
        <w:rPr>
          <w:rFonts w:ascii="Arial" w:hAnsi="Arial" w:cs="Arial"/>
        </w:rPr>
      </w:pPr>
      <w:r>
        <w:rPr>
          <w:rFonts w:ascii="Arial" w:hAnsi="Arial" w:cs="Arial"/>
        </w:rPr>
        <w:t>Based on the scope and outcome of the review processes detailed in this statement and in our annual financial and regulatory reporting the Board of Portsmouth Water are able to confirm that:-</w:t>
      </w:r>
    </w:p>
    <w:p w:rsidR="00476849" w:rsidRDefault="00476849" w:rsidP="00CB10A4">
      <w:pPr>
        <w:spacing w:after="0"/>
        <w:rPr>
          <w:rFonts w:ascii="Arial" w:hAnsi="Arial" w:cs="Arial"/>
        </w:rPr>
      </w:pPr>
    </w:p>
    <w:p w:rsidR="00A71052" w:rsidRDefault="00A71052" w:rsidP="00CB10A4">
      <w:pPr>
        <w:pStyle w:val="ListParagraph"/>
        <w:numPr>
          <w:ilvl w:val="0"/>
          <w:numId w:val="2"/>
        </w:numPr>
        <w:spacing w:after="0"/>
        <w:ind w:left="720"/>
        <w:rPr>
          <w:rFonts w:ascii="Arial" w:hAnsi="Arial" w:cs="Arial"/>
        </w:rPr>
      </w:pPr>
      <w:r>
        <w:rPr>
          <w:rFonts w:ascii="Arial" w:hAnsi="Arial" w:cs="Arial"/>
        </w:rPr>
        <w:lastRenderedPageBreak/>
        <w:t>Considers it has a full understanding of, and is meeting, its obligations and has taken steps to understand and meet customer expectations.</w:t>
      </w:r>
    </w:p>
    <w:p w:rsidR="00A71052" w:rsidRDefault="00A71052" w:rsidP="00CB10A4">
      <w:pPr>
        <w:pStyle w:val="ListParagraph"/>
        <w:numPr>
          <w:ilvl w:val="0"/>
          <w:numId w:val="2"/>
        </w:numPr>
        <w:spacing w:after="0"/>
        <w:ind w:left="720"/>
        <w:rPr>
          <w:rFonts w:ascii="Arial" w:hAnsi="Arial" w:cs="Arial"/>
        </w:rPr>
      </w:pPr>
      <w:r w:rsidRPr="00A71052">
        <w:rPr>
          <w:rFonts w:ascii="Arial" w:hAnsi="Arial" w:cs="Arial"/>
        </w:rPr>
        <w:t>Has satisfied itself that it has sufficient processes and internal systems of control to meet its obligations and</w:t>
      </w:r>
    </w:p>
    <w:p w:rsidR="00A71052" w:rsidRPr="00A71052" w:rsidRDefault="00A71052" w:rsidP="00CB10A4">
      <w:pPr>
        <w:pStyle w:val="ListParagraph"/>
        <w:numPr>
          <w:ilvl w:val="0"/>
          <w:numId w:val="2"/>
        </w:numPr>
        <w:spacing w:after="0"/>
        <w:ind w:left="720"/>
        <w:rPr>
          <w:rFonts w:ascii="Arial" w:hAnsi="Arial" w:cs="Arial"/>
        </w:rPr>
      </w:pPr>
      <w:r w:rsidRPr="00A71052">
        <w:rPr>
          <w:rFonts w:ascii="Arial" w:hAnsi="Arial" w:cs="Arial"/>
        </w:rPr>
        <w:t>Has appropriate systems and processes in place to allow it to identify, manage and review its risks.</w:t>
      </w:r>
    </w:p>
    <w:p w:rsidR="00CB10A4" w:rsidRDefault="00CB10A4" w:rsidP="00CB10A4">
      <w:pPr>
        <w:spacing w:after="0"/>
        <w:rPr>
          <w:rFonts w:ascii="Arial" w:hAnsi="Arial" w:cs="Arial"/>
        </w:rPr>
      </w:pPr>
    </w:p>
    <w:p w:rsidR="00A71052" w:rsidRDefault="00A71052" w:rsidP="00CB10A4">
      <w:pPr>
        <w:spacing w:after="0"/>
        <w:rPr>
          <w:rFonts w:ascii="Arial" w:hAnsi="Arial" w:cs="Arial"/>
        </w:rPr>
      </w:pPr>
      <w:r>
        <w:rPr>
          <w:rFonts w:ascii="Arial" w:hAnsi="Arial" w:cs="Arial"/>
        </w:rPr>
        <w:t>Approved by the Board and signed on its behalf by:</w:t>
      </w:r>
    </w:p>
    <w:p w:rsidR="00DF468F" w:rsidRDefault="00DF468F" w:rsidP="00CB10A4">
      <w:pPr>
        <w:spacing w:after="0"/>
        <w:rPr>
          <w:rFonts w:ascii="Arial" w:hAnsi="Arial" w:cs="Arial"/>
        </w:rPr>
      </w:pPr>
    </w:p>
    <w:p w:rsidR="00A71052" w:rsidRDefault="00DF468F" w:rsidP="00CB10A4">
      <w:pPr>
        <w:spacing w:after="0"/>
        <w:rPr>
          <w:rFonts w:ascii="Arial" w:hAnsi="Arial" w:cs="Arial"/>
        </w:rPr>
      </w:pPr>
      <w:r w:rsidRPr="00DF468F">
        <w:rPr>
          <w:rFonts w:ascii="Arial" w:hAnsi="Arial" w:cs="Arial"/>
          <w:noProof/>
          <w:lang w:eastAsia="en-GB"/>
        </w:rPr>
        <w:drawing>
          <wp:inline distT="0" distB="0" distL="0" distR="0">
            <wp:extent cx="1438275" cy="923925"/>
            <wp:effectExtent l="0" t="0" r="9525" b="9525"/>
            <wp:docPr id="1" name="Picture 1" descr="C:\Users\sm\AppData\Local\Microsoft\Windows\Temporary Internet Files\Content.Outlook\2VXRQ0IV\kirk signature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ppData\Local\Microsoft\Windows\Temporary Internet Files\Content.Outlook\2VXRQ0IV\kirk signature (002).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8275" cy="923925"/>
                    </a:xfrm>
                    <a:prstGeom prst="rect">
                      <a:avLst/>
                    </a:prstGeom>
                    <a:noFill/>
                    <a:ln>
                      <a:noFill/>
                    </a:ln>
                  </pic:spPr>
                </pic:pic>
              </a:graphicData>
            </a:graphic>
          </wp:inline>
        </w:drawing>
      </w:r>
    </w:p>
    <w:p w:rsidR="00A71052" w:rsidRDefault="00DF468F" w:rsidP="00CB10A4">
      <w:pPr>
        <w:spacing w:after="0"/>
        <w:rPr>
          <w:rFonts w:ascii="Arial" w:hAnsi="Arial" w:cs="Arial"/>
          <w:b/>
        </w:rPr>
      </w:pPr>
      <w:r>
        <w:rPr>
          <w:rFonts w:ascii="Arial" w:hAnsi="Arial" w:cs="Arial"/>
          <w:b/>
        </w:rPr>
        <w:t>Mike Kirk</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A71052" w:rsidRDefault="00DF468F" w:rsidP="00CB10A4">
      <w:pPr>
        <w:spacing w:after="0"/>
        <w:rPr>
          <w:rFonts w:ascii="Arial" w:hAnsi="Arial" w:cs="Arial"/>
          <w:b/>
        </w:rPr>
      </w:pPr>
      <w:r w:rsidRPr="00DF468F">
        <w:rPr>
          <w:rFonts w:ascii="Arial" w:hAnsi="Arial" w:cs="Arial"/>
          <w:b/>
        </w:rPr>
        <w:t>Chairman</w:t>
      </w:r>
    </w:p>
    <w:p w:rsidR="006C4BF2" w:rsidRDefault="0037268B" w:rsidP="00DF468F">
      <w:pPr>
        <w:spacing w:after="0"/>
        <w:rPr>
          <w:rFonts w:ascii="Arial" w:hAnsi="Arial" w:cs="Arial"/>
          <w:b/>
        </w:rPr>
      </w:pPr>
      <w:r>
        <w:rPr>
          <w:rFonts w:ascii="Arial" w:hAnsi="Arial" w:cs="Arial"/>
        </w:rPr>
        <w:t xml:space="preserve"> </w:t>
      </w:r>
      <w:r w:rsidR="00DF468F" w:rsidRPr="00DF468F">
        <w:rPr>
          <w:rFonts w:ascii="Arial" w:hAnsi="Arial" w:cs="Arial"/>
          <w:noProof/>
          <w:lang w:eastAsia="en-GB"/>
        </w:rPr>
        <w:drawing>
          <wp:inline distT="0" distB="0" distL="0" distR="0">
            <wp:extent cx="1771650" cy="733425"/>
            <wp:effectExtent l="0" t="0" r="0" b="9525"/>
            <wp:docPr id="4" name="Picture 4" descr="C:\Users\sm\AppData\Local\Microsoft\Windows\Temporary Internet Files\Content.Outlook\2VXRQ0IV\smithsig (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ppData\Local\Microsoft\Windows\Temporary Internet Files\Content.Outlook\2VXRQ0IV\smithsig (003).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0" cy="733425"/>
                    </a:xfrm>
                    <a:prstGeom prst="rect">
                      <a:avLst/>
                    </a:prstGeom>
                    <a:noFill/>
                    <a:ln>
                      <a:noFill/>
                    </a:ln>
                  </pic:spPr>
                </pic:pic>
              </a:graphicData>
            </a:graphic>
          </wp:inline>
        </w:drawing>
      </w:r>
    </w:p>
    <w:p w:rsidR="00DF468F" w:rsidRPr="00DF468F" w:rsidRDefault="00DF468F" w:rsidP="00DF468F">
      <w:pPr>
        <w:spacing w:after="0"/>
        <w:rPr>
          <w:rFonts w:ascii="Arial" w:hAnsi="Arial" w:cs="Arial"/>
          <w:b/>
        </w:rPr>
      </w:pPr>
      <w:r w:rsidRPr="00DF468F">
        <w:rPr>
          <w:rFonts w:ascii="Arial" w:hAnsi="Arial" w:cs="Arial"/>
          <w:b/>
        </w:rPr>
        <w:t>Neville Smith</w:t>
      </w:r>
    </w:p>
    <w:p w:rsidR="00DF468F" w:rsidRDefault="00DF468F" w:rsidP="00DF468F">
      <w:pPr>
        <w:spacing w:after="0"/>
        <w:rPr>
          <w:rFonts w:ascii="Arial" w:hAnsi="Arial" w:cs="Arial"/>
          <w:b/>
        </w:rPr>
      </w:pPr>
      <w:r w:rsidRPr="00DF468F">
        <w:rPr>
          <w:rFonts w:ascii="Arial" w:hAnsi="Arial" w:cs="Arial"/>
          <w:b/>
        </w:rPr>
        <w:t>Managing Director</w:t>
      </w:r>
    </w:p>
    <w:p w:rsidR="00610517" w:rsidRDefault="00610517" w:rsidP="00DF468F">
      <w:pPr>
        <w:spacing w:after="0"/>
        <w:rPr>
          <w:rFonts w:ascii="Arial" w:hAnsi="Arial" w:cs="Arial"/>
          <w:b/>
        </w:rPr>
      </w:pPr>
    </w:p>
    <w:p w:rsidR="00723A6B" w:rsidRDefault="00D2277E" w:rsidP="00DF468F">
      <w:pPr>
        <w:spacing w:after="0"/>
        <w:rPr>
          <w:rFonts w:ascii="Arial" w:hAnsi="Arial" w:cs="Arial"/>
          <w:b/>
        </w:rPr>
      </w:pPr>
      <w:r>
        <w:rPr>
          <w:rFonts w:ascii="Arial" w:hAnsi="Arial" w:cs="Arial"/>
          <w:b/>
        </w:rPr>
        <w:t>12 July 201</w:t>
      </w:r>
      <w:r w:rsidR="00554266">
        <w:rPr>
          <w:rFonts w:ascii="Arial" w:hAnsi="Arial" w:cs="Arial"/>
          <w:b/>
        </w:rPr>
        <w:t>8</w:t>
      </w:r>
    </w:p>
    <w:p w:rsidR="00723A6B" w:rsidRDefault="00723A6B">
      <w:pPr>
        <w:rPr>
          <w:rFonts w:ascii="Arial" w:hAnsi="Arial" w:cs="Arial"/>
          <w:b/>
        </w:rPr>
      </w:pPr>
      <w:r>
        <w:rPr>
          <w:rFonts w:ascii="Arial" w:hAnsi="Arial" w:cs="Arial"/>
          <w:b/>
        </w:rPr>
        <w:br w:type="page"/>
      </w:r>
    </w:p>
    <w:p w:rsidR="00736200" w:rsidRDefault="00723A6B" w:rsidP="00DF468F">
      <w:pPr>
        <w:spacing w:after="0"/>
        <w:rPr>
          <w:rFonts w:ascii="Arial" w:hAnsi="Arial" w:cs="Arial"/>
          <w:b/>
        </w:rPr>
      </w:pPr>
      <w:r>
        <w:rPr>
          <w:rFonts w:ascii="Arial" w:hAnsi="Arial" w:cs="Arial"/>
          <w:b/>
        </w:rPr>
        <w:lastRenderedPageBreak/>
        <w:t>Appendix 1</w:t>
      </w:r>
    </w:p>
    <w:p w:rsidR="00723A6B" w:rsidRDefault="00723A6B" w:rsidP="00DF468F">
      <w:pPr>
        <w:spacing w:after="0"/>
        <w:rPr>
          <w:rFonts w:ascii="Arial" w:hAnsi="Arial" w:cs="Arial"/>
          <w:b/>
        </w:rPr>
      </w:pPr>
    </w:p>
    <w:p w:rsidR="00723A6B" w:rsidRDefault="00723A6B" w:rsidP="00DF468F">
      <w:pPr>
        <w:spacing w:after="0"/>
        <w:rPr>
          <w:rFonts w:ascii="Arial" w:hAnsi="Arial" w:cs="Arial"/>
          <w:b/>
        </w:rPr>
      </w:pPr>
      <w:r>
        <w:rPr>
          <w:rFonts w:ascii="Arial" w:hAnsi="Arial" w:cs="Arial"/>
          <w:b/>
        </w:rPr>
        <w:t>Summary of Assurance Findings and Results</w:t>
      </w:r>
    </w:p>
    <w:p w:rsidR="00723A6B" w:rsidRDefault="00723A6B" w:rsidP="00DF468F">
      <w:pPr>
        <w:spacing w:after="0"/>
        <w:rPr>
          <w:rFonts w:ascii="Arial" w:hAnsi="Arial" w:cs="Arial"/>
          <w:b/>
        </w:rPr>
      </w:pPr>
    </w:p>
    <w:p w:rsidR="00723A6B" w:rsidRDefault="00723A6B" w:rsidP="00DF468F">
      <w:pPr>
        <w:spacing w:after="0"/>
        <w:rPr>
          <w:rFonts w:ascii="Arial" w:hAnsi="Arial" w:cs="Arial"/>
          <w:bCs/>
        </w:rPr>
      </w:pPr>
      <w:r>
        <w:rPr>
          <w:rFonts w:ascii="Arial" w:hAnsi="Arial" w:cs="Arial"/>
          <w:bCs/>
        </w:rPr>
        <w:t>We have summarised the key audit findings below;</w:t>
      </w:r>
    </w:p>
    <w:p w:rsidR="00723A6B" w:rsidRDefault="00723A6B" w:rsidP="00DF468F">
      <w:pPr>
        <w:spacing w:after="0"/>
        <w:rPr>
          <w:rFonts w:ascii="Arial" w:hAnsi="Arial" w:cs="Arial"/>
          <w:bCs/>
        </w:rPr>
      </w:pPr>
    </w:p>
    <w:p w:rsidR="00723A6B" w:rsidRPr="00386DEF" w:rsidRDefault="00723A6B" w:rsidP="00DF468F">
      <w:pPr>
        <w:spacing w:after="0"/>
        <w:rPr>
          <w:rFonts w:ascii="Arial" w:hAnsi="Arial" w:cs="Arial"/>
          <w:b/>
          <w:bCs/>
        </w:rPr>
      </w:pPr>
      <w:r w:rsidRPr="00386DEF">
        <w:rPr>
          <w:rFonts w:ascii="Arial" w:hAnsi="Arial" w:cs="Arial"/>
          <w:b/>
          <w:bCs/>
        </w:rPr>
        <w:t>Statutory Audit Finding – Annual Report and Accounts (KPMG)</w:t>
      </w:r>
    </w:p>
    <w:tbl>
      <w:tblPr>
        <w:tblStyle w:val="TableGrid"/>
        <w:tblW w:w="0" w:type="auto"/>
        <w:tblLook w:val="04A0" w:firstRow="1" w:lastRow="0" w:firstColumn="1" w:lastColumn="0" w:noHBand="0" w:noVBand="1"/>
      </w:tblPr>
      <w:tblGrid>
        <w:gridCol w:w="3005"/>
        <w:gridCol w:w="3005"/>
        <w:gridCol w:w="3006"/>
      </w:tblGrid>
      <w:tr w:rsidR="00723A6B" w:rsidTr="00723A6B">
        <w:tc>
          <w:tcPr>
            <w:tcW w:w="3005" w:type="dxa"/>
          </w:tcPr>
          <w:p w:rsidR="00723A6B" w:rsidRPr="00386DEF" w:rsidRDefault="00723A6B" w:rsidP="00DF468F">
            <w:pPr>
              <w:rPr>
                <w:rFonts w:ascii="Arial" w:hAnsi="Arial" w:cs="Arial"/>
                <w:bCs/>
                <w:sz w:val="20"/>
                <w:szCs w:val="20"/>
              </w:rPr>
            </w:pPr>
            <w:r w:rsidRPr="00386DEF">
              <w:rPr>
                <w:rFonts w:ascii="Arial" w:hAnsi="Arial" w:cs="Arial"/>
                <w:bCs/>
                <w:sz w:val="20"/>
                <w:szCs w:val="20"/>
              </w:rPr>
              <w:t>Area</w:t>
            </w:r>
          </w:p>
        </w:tc>
        <w:tc>
          <w:tcPr>
            <w:tcW w:w="3005" w:type="dxa"/>
          </w:tcPr>
          <w:p w:rsidR="00723A6B" w:rsidRPr="00386DEF" w:rsidRDefault="00723A6B" w:rsidP="00DF468F">
            <w:pPr>
              <w:rPr>
                <w:rFonts w:ascii="Arial" w:hAnsi="Arial" w:cs="Arial"/>
                <w:bCs/>
                <w:sz w:val="20"/>
                <w:szCs w:val="20"/>
              </w:rPr>
            </w:pPr>
            <w:r w:rsidRPr="00386DEF">
              <w:rPr>
                <w:rFonts w:ascii="Arial" w:hAnsi="Arial" w:cs="Arial"/>
                <w:bCs/>
                <w:sz w:val="20"/>
                <w:szCs w:val="20"/>
              </w:rPr>
              <w:t>Finding</w:t>
            </w:r>
          </w:p>
        </w:tc>
        <w:tc>
          <w:tcPr>
            <w:tcW w:w="3006" w:type="dxa"/>
          </w:tcPr>
          <w:p w:rsidR="00723A6B" w:rsidRPr="00386DEF" w:rsidRDefault="00723A6B" w:rsidP="00DF468F">
            <w:pPr>
              <w:rPr>
                <w:rFonts w:ascii="Arial" w:hAnsi="Arial" w:cs="Arial"/>
                <w:bCs/>
                <w:sz w:val="20"/>
                <w:szCs w:val="20"/>
              </w:rPr>
            </w:pPr>
            <w:r w:rsidRPr="00386DEF">
              <w:rPr>
                <w:rFonts w:ascii="Arial" w:hAnsi="Arial" w:cs="Arial"/>
                <w:bCs/>
                <w:sz w:val="20"/>
                <w:szCs w:val="20"/>
              </w:rPr>
              <w:t>Impact</w:t>
            </w:r>
          </w:p>
        </w:tc>
      </w:tr>
      <w:tr w:rsidR="00723A6B" w:rsidTr="00723A6B">
        <w:tc>
          <w:tcPr>
            <w:tcW w:w="3005" w:type="dxa"/>
          </w:tcPr>
          <w:p w:rsidR="00723A6B" w:rsidRPr="00386DEF" w:rsidRDefault="00723A6B" w:rsidP="00DF468F">
            <w:pPr>
              <w:rPr>
                <w:rFonts w:ascii="Arial" w:hAnsi="Arial" w:cs="Arial"/>
                <w:bCs/>
                <w:sz w:val="20"/>
                <w:szCs w:val="20"/>
              </w:rPr>
            </w:pPr>
            <w:r w:rsidRPr="00386DEF">
              <w:rPr>
                <w:rFonts w:ascii="Arial" w:hAnsi="Arial" w:cs="Arial"/>
                <w:bCs/>
                <w:sz w:val="20"/>
                <w:szCs w:val="20"/>
              </w:rPr>
              <w:t>Audit opinion</w:t>
            </w:r>
          </w:p>
        </w:tc>
        <w:tc>
          <w:tcPr>
            <w:tcW w:w="3005" w:type="dxa"/>
          </w:tcPr>
          <w:p w:rsidR="00723A6B" w:rsidRPr="00386DEF" w:rsidRDefault="00723A6B" w:rsidP="00DF468F">
            <w:pPr>
              <w:rPr>
                <w:rFonts w:ascii="Arial" w:hAnsi="Arial" w:cs="Arial"/>
                <w:bCs/>
                <w:sz w:val="20"/>
                <w:szCs w:val="20"/>
              </w:rPr>
            </w:pPr>
            <w:r w:rsidRPr="00386DEF">
              <w:rPr>
                <w:rFonts w:ascii="Arial" w:hAnsi="Arial" w:cs="Arial"/>
                <w:bCs/>
                <w:sz w:val="20"/>
                <w:szCs w:val="20"/>
              </w:rPr>
              <w:t>Unmodified</w:t>
            </w:r>
          </w:p>
        </w:tc>
        <w:tc>
          <w:tcPr>
            <w:tcW w:w="3006" w:type="dxa"/>
          </w:tcPr>
          <w:p w:rsidR="00723A6B" w:rsidRPr="00386DEF" w:rsidRDefault="00723A6B" w:rsidP="00DF468F">
            <w:pPr>
              <w:rPr>
                <w:rFonts w:ascii="Arial" w:hAnsi="Arial" w:cs="Arial"/>
                <w:bCs/>
                <w:sz w:val="20"/>
                <w:szCs w:val="20"/>
              </w:rPr>
            </w:pPr>
            <w:r w:rsidRPr="00386DEF">
              <w:rPr>
                <w:rFonts w:ascii="Arial" w:hAnsi="Arial" w:cs="Arial"/>
                <w:bCs/>
                <w:sz w:val="20"/>
                <w:szCs w:val="20"/>
              </w:rPr>
              <w:t>None</w:t>
            </w:r>
          </w:p>
        </w:tc>
      </w:tr>
      <w:tr w:rsidR="00723A6B" w:rsidTr="00723A6B">
        <w:tc>
          <w:tcPr>
            <w:tcW w:w="3005" w:type="dxa"/>
          </w:tcPr>
          <w:p w:rsidR="00723A6B" w:rsidRPr="00386DEF" w:rsidRDefault="00723A6B" w:rsidP="00DF468F">
            <w:pPr>
              <w:rPr>
                <w:rFonts w:ascii="Arial" w:hAnsi="Arial" w:cs="Arial"/>
                <w:bCs/>
                <w:sz w:val="20"/>
                <w:szCs w:val="20"/>
              </w:rPr>
            </w:pPr>
            <w:r w:rsidRPr="00386DEF">
              <w:rPr>
                <w:rFonts w:ascii="Arial" w:hAnsi="Arial" w:cs="Arial"/>
                <w:bCs/>
                <w:sz w:val="20"/>
                <w:szCs w:val="20"/>
              </w:rPr>
              <w:t>Key accounting judgements</w:t>
            </w:r>
          </w:p>
        </w:tc>
        <w:tc>
          <w:tcPr>
            <w:tcW w:w="3005" w:type="dxa"/>
          </w:tcPr>
          <w:p w:rsidR="00723A6B" w:rsidRPr="00386DEF" w:rsidRDefault="00723A6B" w:rsidP="00DF468F">
            <w:pPr>
              <w:rPr>
                <w:rFonts w:ascii="Arial" w:hAnsi="Arial" w:cs="Arial"/>
                <w:bCs/>
                <w:sz w:val="20"/>
                <w:szCs w:val="20"/>
              </w:rPr>
            </w:pPr>
            <w:r w:rsidRPr="00386DEF">
              <w:rPr>
                <w:rFonts w:ascii="Arial" w:hAnsi="Arial" w:cs="Arial"/>
                <w:bCs/>
                <w:sz w:val="20"/>
                <w:szCs w:val="20"/>
              </w:rPr>
              <w:t>Fall within acceptable range</w:t>
            </w:r>
          </w:p>
        </w:tc>
        <w:tc>
          <w:tcPr>
            <w:tcW w:w="3006" w:type="dxa"/>
          </w:tcPr>
          <w:p w:rsidR="00723A6B" w:rsidRPr="00386DEF" w:rsidRDefault="00723A6B" w:rsidP="00DF468F">
            <w:pPr>
              <w:rPr>
                <w:rFonts w:ascii="Arial" w:hAnsi="Arial" w:cs="Arial"/>
                <w:bCs/>
                <w:sz w:val="20"/>
                <w:szCs w:val="20"/>
              </w:rPr>
            </w:pPr>
            <w:r w:rsidRPr="00386DEF">
              <w:rPr>
                <w:rFonts w:ascii="Arial" w:hAnsi="Arial" w:cs="Arial"/>
                <w:bCs/>
                <w:sz w:val="20"/>
                <w:szCs w:val="20"/>
              </w:rPr>
              <w:t>None</w:t>
            </w:r>
          </w:p>
        </w:tc>
      </w:tr>
      <w:tr w:rsidR="00723A6B" w:rsidTr="00723A6B">
        <w:tc>
          <w:tcPr>
            <w:tcW w:w="3005" w:type="dxa"/>
          </w:tcPr>
          <w:p w:rsidR="00723A6B" w:rsidRPr="00386DEF" w:rsidRDefault="00723A6B" w:rsidP="00DF468F">
            <w:pPr>
              <w:rPr>
                <w:rFonts w:ascii="Arial" w:hAnsi="Arial" w:cs="Arial"/>
                <w:bCs/>
                <w:sz w:val="20"/>
                <w:szCs w:val="20"/>
              </w:rPr>
            </w:pPr>
            <w:r w:rsidRPr="00386DEF">
              <w:rPr>
                <w:rFonts w:ascii="Arial" w:hAnsi="Arial" w:cs="Arial"/>
                <w:bCs/>
                <w:sz w:val="20"/>
                <w:szCs w:val="20"/>
              </w:rPr>
              <w:t>Unadjusted misstatements</w:t>
            </w:r>
          </w:p>
        </w:tc>
        <w:tc>
          <w:tcPr>
            <w:tcW w:w="3005" w:type="dxa"/>
          </w:tcPr>
          <w:p w:rsidR="00723A6B" w:rsidRPr="00386DEF" w:rsidRDefault="00723A6B" w:rsidP="00DF468F">
            <w:pPr>
              <w:rPr>
                <w:rFonts w:ascii="Arial" w:hAnsi="Arial" w:cs="Arial"/>
                <w:bCs/>
                <w:sz w:val="20"/>
                <w:szCs w:val="20"/>
              </w:rPr>
            </w:pPr>
            <w:r w:rsidRPr="00386DEF">
              <w:rPr>
                <w:rFonts w:ascii="Arial" w:hAnsi="Arial" w:cs="Arial"/>
                <w:bCs/>
                <w:sz w:val="20"/>
                <w:szCs w:val="20"/>
              </w:rPr>
              <w:t>Three with total £0.1m value</w:t>
            </w:r>
          </w:p>
        </w:tc>
        <w:tc>
          <w:tcPr>
            <w:tcW w:w="3006" w:type="dxa"/>
          </w:tcPr>
          <w:p w:rsidR="00723A6B" w:rsidRPr="00386DEF" w:rsidRDefault="00723A6B" w:rsidP="00DF468F">
            <w:pPr>
              <w:rPr>
                <w:rFonts w:ascii="Arial" w:hAnsi="Arial" w:cs="Arial"/>
                <w:bCs/>
                <w:sz w:val="20"/>
                <w:szCs w:val="20"/>
              </w:rPr>
            </w:pPr>
            <w:r w:rsidRPr="00386DEF">
              <w:rPr>
                <w:rFonts w:ascii="Arial" w:hAnsi="Arial" w:cs="Arial"/>
                <w:bCs/>
                <w:sz w:val="20"/>
                <w:szCs w:val="20"/>
              </w:rPr>
              <w:t>Immaterial.  Not indicative of systematic failures.</w:t>
            </w:r>
          </w:p>
        </w:tc>
      </w:tr>
      <w:tr w:rsidR="00723A6B" w:rsidTr="00723A6B">
        <w:tc>
          <w:tcPr>
            <w:tcW w:w="3005" w:type="dxa"/>
          </w:tcPr>
          <w:p w:rsidR="00723A6B" w:rsidRPr="00386DEF" w:rsidRDefault="00723A6B" w:rsidP="00DF468F">
            <w:pPr>
              <w:rPr>
                <w:rFonts w:ascii="Arial" w:hAnsi="Arial" w:cs="Arial"/>
                <w:bCs/>
                <w:sz w:val="20"/>
                <w:szCs w:val="20"/>
              </w:rPr>
            </w:pPr>
            <w:r w:rsidRPr="00386DEF">
              <w:rPr>
                <w:rFonts w:ascii="Arial" w:hAnsi="Arial" w:cs="Arial"/>
                <w:bCs/>
                <w:sz w:val="20"/>
                <w:szCs w:val="20"/>
              </w:rPr>
              <w:t>Adjusted misstatements</w:t>
            </w:r>
          </w:p>
        </w:tc>
        <w:tc>
          <w:tcPr>
            <w:tcW w:w="3005" w:type="dxa"/>
          </w:tcPr>
          <w:p w:rsidR="00723A6B" w:rsidRPr="00386DEF" w:rsidRDefault="00723A6B" w:rsidP="00DF468F">
            <w:pPr>
              <w:rPr>
                <w:rFonts w:ascii="Arial" w:hAnsi="Arial" w:cs="Arial"/>
                <w:bCs/>
                <w:sz w:val="20"/>
                <w:szCs w:val="20"/>
              </w:rPr>
            </w:pPr>
            <w:r w:rsidRPr="00386DEF">
              <w:rPr>
                <w:rFonts w:ascii="Arial" w:hAnsi="Arial" w:cs="Arial"/>
                <w:bCs/>
                <w:sz w:val="20"/>
                <w:szCs w:val="20"/>
              </w:rPr>
              <w:t>None</w:t>
            </w:r>
          </w:p>
        </w:tc>
        <w:tc>
          <w:tcPr>
            <w:tcW w:w="3006" w:type="dxa"/>
          </w:tcPr>
          <w:p w:rsidR="00723A6B" w:rsidRPr="00386DEF" w:rsidRDefault="00723A6B" w:rsidP="00DF468F">
            <w:pPr>
              <w:rPr>
                <w:rFonts w:ascii="Arial" w:hAnsi="Arial" w:cs="Arial"/>
                <w:bCs/>
                <w:sz w:val="20"/>
                <w:szCs w:val="20"/>
              </w:rPr>
            </w:pPr>
            <w:r w:rsidRPr="00386DEF">
              <w:rPr>
                <w:rFonts w:ascii="Arial" w:hAnsi="Arial" w:cs="Arial"/>
                <w:bCs/>
                <w:sz w:val="20"/>
                <w:szCs w:val="20"/>
              </w:rPr>
              <w:t>None</w:t>
            </w:r>
          </w:p>
        </w:tc>
      </w:tr>
      <w:tr w:rsidR="00723A6B" w:rsidTr="00723A6B">
        <w:tc>
          <w:tcPr>
            <w:tcW w:w="3005" w:type="dxa"/>
          </w:tcPr>
          <w:p w:rsidR="00723A6B" w:rsidRPr="00386DEF" w:rsidRDefault="00723A6B" w:rsidP="00DF468F">
            <w:pPr>
              <w:rPr>
                <w:rFonts w:ascii="Arial" w:hAnsi="Arial" w:cs="Arial"/>
                <w:bCs/>
                <w:sz w:val="20"/>
                <w:szCs w:val="20"/>
              </w:rPr>
            </w:pPr>
            <w:r w:rsidRPr="00386DEF">
              <w:rPr>
                <w:rFonts w:ascii="Arial" w:hAnsi="Arial" w:cs="Arial"/>
                <w:bCs/>
                <w:sz w:val="20"/>
                <w:szCs w:val="20"/>
              </w:rPr>
              <w:t>Control observations</w:t>
            </w:r>
          </w:p>
        </w:tc>
        <w:tc>
          <w:tcPr>
            <w:tcW w:w="3005" w:type="dxa"/>
          </w:tcPr>
          <w:p w:rsidR="00723A6B" w:rsidRPr="00386DEF" w:rsidRDefault="00723A6B" w:rsidP="00723A6B">
            <w:pPr>
              <w:tabs>
                <w:tab w:val="left" w:pos="1252"/>
                <w:tab w:val="left" w:pos="1844"/>
              </w:tabs>
              <w:rPr>
                <w:rFonts w:ascii="Arial" w:hAnsi="Arial" w:cs="Arial"/>
                <w:bCs/>
                <w:sz w:val="20"/>
                <w:szCs w:val="20"/>
              </w:rPr>
            </w:pPr>
            <w:r w:rsidRPr="00386DEF">
              <w:rPr>
                <w:rFonts w:ascii="Arial" w:hAnsi="Arial" w:cs="Arial"/>
                <w:bCs/>
                <w:sz w:val="20"/>
                <w:szCs w:val="20"/>
              </w:rPr>
              <w:t>High</w:t>
            </w:r>
            <w:r w:rsidRPr="00386DEF">
              <w:rPr>
                <w:rFonts w:ascii="Arial" w:hAnsi="Arial" w:cs="Arial"/>
                <w:bCs/>
                <w:sz w:val="20"/>
                <w:szCs w:val="20"/>
              </w:rPr>
              <w:tab/>
              <w:t>-</w:t>
            </w:r>
            <w:r w:rsidRPr="00386DEF">
              <w:rPr>
                <w:rFonts w:ascii="Arial" w:hAnsi="Arial" w:cs="Arial"/>
                <w:bCs/>
                <w:sz w:val="20"/>
                <w:szCs w:val="20"/>
              </w:rPr>
              <w:tab/>
              <w:t>None</w:t>
            </w:r>
          </w:p>
          <w:p w:rsidR="00723A6B" w:rsidRPr="00386DEF" w:rsidRDefault="00723A6B" w:rsidP="00723A6B">
            <w:pPr>
              <w:tabs>
                <w:tab w:val="left" w:pos="1252"/>
                <w:tab w:val="left" w:pos="1844"/>
              </w:tabs>
              <w:rPr>
                <w:rFonts w:ascii="Arial" w:hAnsi="Arial" w:cs="Arial"/>
                <w:bCs/>
                <w:sz w:val="20"/>
                <w:szCs w:val="20"/>
              </w:rPr>
            </w:pPr>
            <w:r w:rsidRPr="00386DEF">
              <w:rPr>
                <w:rFonts w:ascii="Arial" w:hAnsi="Arial" w:cs="Arial"/>
                <w:bCs/>
                <w:sz w:val="20"/>
                <w:szCs w:val="20"/>
              </w:rPr>
              <w:t>Medium</w:t>
            </w:r>
            <w:r w:rsidRPr="00386DEF">
              <w:rPr>
                <w:rFonts w:ascii="Arial" w:hAnsi="Arial" w:cs="Arial"/>
                <w:bCs/>
                <w:sz w:val="20"/>
                <w:szCs w:val="20"/>
              </w:rPr>
              <w:tab/>
              <w:t>-</w:t>
            </w:r>
            <w:r w:rsidRPr="00386DEF">
              <w:rPr>
                <w:rFonts w:ascii="Arial" w:hAnsi="Arial" w:cs="Arial"/>
                <w:bCs/>
                <w:sz w:val="20"/>
                <w:szCs w:val="20"/>
              </w:rPr>
              <w:tab/>
              <w:t>7</w:t>
            </w:r>
          </w:p>
          <w:p w:rsidR="00723A6B" w:rsidRPr="00386DEF" w:rsidRDefault="00723A6B" w:rsidP="00723A6B">
            <w:pPr>
              <w:tabs>
                <w:tab w:val="left" w:pos="1252"/>
                <w:tab w:val="left" w:pos="1844"/>
              </w:tabs>
              <w:rPr>
                <w:rFonts w:ascii="Arial" w:hAnsi="Arial" w:cs="Arial"/>
                <w:bCs/>
                <w:sz w:val="20"/>
                <w:szCs w:val="20"/>
              </w:rPr>
            </w:pPr>
            <w:r w:rsidRPr="00386DEF">
              <w:rPr>
                <w:rFonts w:ascii="Arial" w:hAnsi="Arial" w:cs="Arial"/>
                <w:bCs/>
                <w:sz w:val="20"/>
                <w:szCs w:val="20"/>
              </w:rPr>
              <w:t>Low</w:t>
            </w:r>
            <w:r w:rsidRPr="00386DEF">
              <w:rPr>
                <w:rFonts w:ascii="Arial" w:hAnsi="Arial" w:cs="Arial"/>
                <w:bCs/>
                <w:sz w:val="20"/>
                <w:szCs w:val="20"/>
              </w:rPr>
              <w:tab/>
              <w:t>-</w:t>
            </w:r>
            <w:r w:rsidRPr="00386DEF">
              <w:rPr>
                <w:rFonts w:ascii="Arial" w:hAnsi="Arial" w:cs="Arial"/>
                <w:bCs/>
                <w:sz w:val="20"/>
                <w:szCs w:val="20"/>
              </w:rPr>
              <w:tab/>
              <w:t>9</w:t>
            </w:r>
          </w:p>
        </w:tc>
        <w:tc>
          <w:tcPr>
            <w:tcW w:w="3006" w:type="dxa"/>
          </w:tcPr>
          <w:p w:rsidR="00723A6B" w:rsidRPr="00386DEF" w:rsidRDefault="00723A6B" w:rsidP="00DF468F">
            <w:pPr>
              <w:rPr>
                <w:rFonts w:ascii="Arial" w:hAnsi="Arial" w:cs="Arial"/>
                <w:bCs/>
                <w:sz w:val="20"/>
                <w:szCs w:val="20"/>
              </w:rPr>
            </w:pPr>
            <w:r w:rsidRPr="00386DEF">
              <w:rPr>
                <w:rFonts w:ascii="Arial" w:hAnsi="Arial" w:cs="Arial"/>
                <w:bCs/>
                <w:sz w:val="20"/>
                <w:szCs w:val="20"/>
              </w:rPr>
              <w:t xml:space="preserve">The Company has put in place agreed actions in relation to the </w:t>
            </w:r>
            <w:r w:rsidR="00475843" w:rsidRPr="00386DEF">
              <w:rPr>
                <w:rFonts w:ascii="Arial" w:hAnsi="Arial" w:cs="Arial"/>
                <w:bCs/>
                <w:sz w:val="20"/>
                <w:szCs w:val="20"/>
              </w:rPr>
              <w:t>control observations identified.  Of these recommendations, 11 related to opportunities to strengthen IT access controls and segregation of duties and all have been addressed.  Of the remaining, 3 related to processes relating to inventory, 1 related to journal approval and 1 related to month end approval processes</w:t>
            </w:r>
          </w:p>
        </w:tc>
      </w:tr>
    </w:tbl>
    <w:p w:rsidR="00475843" w:rsidRDefault="00475843" w:rsidP="00475843">
      <w:pPr>
        <w:spacing w:after="0" w:line="240" w:lineRule="auto"/>
        <w:rPr>
          <w:rFonts w:ascii="Arial" w:hAnsi="Arial" w:cs="Arial"/>
        </w:rPr>
      </w:pPr>
    </w:p>
    <w:p w:rsidR="00475843" w:rsidRPr="00386DEF" w:rsidRDefault="00475843" w:rsidP="00475843">
      <w:pPr>
        <w:spacing w:after="0" w:line="240" w:lineRule="auto"/>
        <w:rPr>
          <w:rFonts w:ascii="Arial" w:hAnsi="Arial" w:cs="Arial"/>
          <w:b/>
        </w:rPr>
      </w:pPr>
      <w:r w:rsidRPr="00386DEF">
        <w:rPr>
          <w:rFonts w:ascii="Arial" w:hAnsi="Arial" w:cs="Arial"/>
          <w:b/>
        </w:rPr>
        <w:t>Annual Performance Report – Financial (KPMG)</w:t>
      </w:r>
    </w:p>
    <w:tbl>
      <w:tblPr>
        <w:tblStyle w:val="TableGrid"/>
        <w:tblW w:w="0" w:type="auto"/>
        <w:tblLook w:val="04A0" w:firstRow="1" w:lastRow="0" w:firstColumn="1" w:lastColumn="0" w:noHBand="0" w:noVBand="1"/>
      </w:tblPr>
      <w:tblGrid>
        <w:gridCol w:w="3005"/>
        <w:gridCol w:w="3005"/>
        <w:gridCol w:w="3006"/>
      </w:tblGrid>
      <w:tr w:rsidR="003239AA" w:rsidRPr="00475843" w:rsidTr="00723A6B">
        <w:tc>
          <w:tcPr>
            <w:tcW w:w="3005" w:type="dxa"/>
          </w:tcPr>
          <w:p w:rsidR="003239AA" w:rsidRPr="00386DEF" w:rsidRDefault="003239AA" w:rsidP="003239AA">
            <w:pPr>
              <w:rPr>
                <w:rFonts w:ascii="Arial" w:hAnsi="Arial" w:cs="Arial"/>
                <w:bCs/>
                <w:sz w:val="20"/>
                <w:szCs w:val="20"/>
              </w:rPr>
            </w:pPr>
            <w:r w:rsidRPr="00386DEF">
              <w:rPr>
                <w:rFonts w:ascii="Arial" w:hAnsi="Arial" w:cs="Arial"/>
                <w:bCs/>
                <w:sz w:val="20"/>
                <w:szCs w:val="20"/>
              </w:rPr>
              <w:t>Area</w:t>
            </w:r>
          </w:p>
        </w:tc>
        <w:tc>
          <w:tcPr>
            <w:tcW w:w="3005" w:type="dxa"/>
          </w:tcPr>
          <w:p w:rsidR="003239AA" w:rsidRPr="00386DEF" w:rsidRDefault="003239AA" w:rsidP="003239AA">
            <w:pPr>
              <w:rPr>
                <w:rFonts w:ascii="Arial" w:hAnsi="Arial" w:cs="Arial"/>
                <w:bCs/>
                <w:sz w:val="20"/>
                <w:szCs w:val="20"/>
              </w:rPr>
            </w:pPr>
            <w:r w:rsidRPr="00386DEF">
              <w:rPr>
                <w:rFonts w:ascii="Arial" w:hAnsi="Arial" w:cs="Arial"/>
                <w:bCs/>
                <w:sz w:val="20"/>
                <w:szCs w:val="20"/>
              </w:rPr>
              <w:t>Finding</w:t>
            </w:r>
          </w:p>
        </w:tc>
        <w:tc>
          <w:tcPr>
            <w:tcW w:w="3006" w:type="dxa"/>
          </w:tcPr>
          <w:p w:rsidR="003239AA" w:rsidRPr="00386DEF" w:rsidRDefault="003239AA" w:rsidP="003239AA">
            <w:pPr>
              <w:rPr>
                <w:rFonts w:ascii="Arial" w:hAnsi="Arial" w:cs="Arial"/>
                <w:bCs/>
                <w:sz w:val="20"/>
                <w:szCs w:val="20"/>
              </w:rPr>
            </w:pPr>
            <w:r w:rsidRPr="00386DEF">
              <w:rPr>
                <w:rFonts w:ascii="Arial" w:hAnsi="Arial" w:cs="Arial"/>
                <w:bCs/>
                <w:sz w:val="20"/>
                <w:szCs w:val="20"/>
              </w:rPr>
              <w:t>Impact</w:t>
            </w:r>
          </w:p>
        </w:tc>
      </w:tr>
      <w:tr w:rsidR="00475843" w:rsidRPr="00475843" w:rsidTr="00723A6B">
        <w:tc>
          <w:tcPr>
            <w:tcW w:w="3005" w:type="dxa"/>
          </w:tcPr>
          <w:p w:rsidR="00475843" w:rsidRPr="00386DEF" w:rsidRDefault="003239AA" w:rsidP="00475843">
            <w:pPr>
              <w:rPr>
                <w:rFonts w:ascii="Arial" w:hAnsi="Arial" w:cs="Arial"/>
                <w:bCs/>
                <w:sz w:val="20"/>
                <w:szCs w:val="20"/>
              </w:rPr>
            </w:pPr>
            <w:r w:rsidRPr="00386DEF">
              <w:rPr>
                <w:rFonts w:ascii="Arial" w:hAnsi="Arial" w:cs="Arial"/>
                <w:bCs/>
                <w:sz w:val="20"/>
                <w:szCs w:val="20"/>
              </w:rPr>
              <w:t>Audit opinion over sections 1 &amp; 2</w:t>
            </w:r>
          </w:p>
        </w:tc>
        <w:tc>
          <w:tcPr>
            <w:tcW w:w="3005" w:type="dxa"/>
          </w:tcPr>
          <w:p w:rsidR="00B0167A" w:rsidRPr="00386DEF" w:rsidRDefault="003239AA" w:rsidP="00475843">
            <w:pPr>
              <w:rPr>
                <w:rFonts w:ascii="Arial" w:hAnsi="Arial" w:cs="Arial"/>
                <w:bCs/>
                <w:sz w:val="20"/>
                <w:szCs w:val="20"/>
              </w:rPr>
            </w:pPr>
            <w:r w:rsidRPr="00386DEF">
              <w:rPr>
                <w:rFonts w:ascii="Arial" w:hAnsi="Arial" w:cs="Arial"/>
                <w:bCs/>
                <w:sz w:val="20"/>
                <w:szCs w:val="20"/>
              </w:rPr>
              <w:t>Unmodified</w:t>
            </w:r>
          </w:p>
        </w:tc>
        <w:tc>
          <w:tcPr>
            <w:tcW w:w="3006" w:type="dxa"/>
          </w:tcPr>
          <w:p w:rsidR="00B0167A" w:rsidRPr="00386DEF" w:rsidRDefault="003239AA" w:rsidP="00475843">
            <w:pPr>
              <w:rPr>
                <w:rFonts w:ascii="Arial" w:hAnsi="Arial" w:cs="Arial"/>
                <w:bCs/>
                <w:sz w:val="20"/>
                <w:szCs w:val="20"/>
              </w:rPr>
            </w:pPr>
            <w:r w:rsidRPr="00386DEF">
              <w:rPr>
                <w:rFonts w:ascii="Arial" w:hAnsi="Arial" w:cs="Arial"/>
                <w:bCs/>
                <w:sz w:val="20"/>
                <w:szCs w:val="20"/>
              </w:rPr>
              <w:t>None</w:t>
            </w:r>
          </w:p>
        </w:tc>
      </w:tr>
      <w:tr w:rsidR="00475843" w:rsidRPr="00475843" w:rsidTr="00723A6B">
        <w:tc>
          <w:tcPr>
            <w:tcW w:w="3005" w:type="dxa"/>
          </w:tcPr>
          <w:p w:rsidR="00475843" w:rsidRPr="00386DEF" w:rsidRDefault="003239AA" w:rsidP="00D810E2">
            <w:pPr>
              <w:rPr>
                <w:rFonts w:ascii="Arial" w:hAnsi="Arial" w:cs="Arial"/>
                <w:bCs/>
                <w:sz w:val="20"/>
                <w:szCs w:val="20"/>
              </w:rPr>
            </w:pPr>
            <w:r w:rsidRPr="00386DEF">
              <w:rPr>
                <w:rFonts w:ascii="Arial" w:hAnsi="Arial" w:cs="Arial"/>
                <w:bCs/>
                <w:sz w:val="20"/>
                <w:szCs w:val="20"/>
              </w:rPr>
              <w:t xml:space="preserve">Agreed upon procedures report on financial elements of </w:t>
            </w:r>
            <w:r w:rsidR="00D810E2" w:rsidRPr="00386DEF">
              <w:rPr>
                <w:rFonts w:ascii="Arial" w:hAnsi="Arial" w:cs="Arial"/>
                <w:bCs/>
                <w:sz w:val="20"/>
                <w:szCs w:val="20"/>
              </w:rPr>
              <w:t>section 4</w:t>
            </w:r>
          </w:p>
        </w:tc>
        <w:tc>
          <w:tcPr>
            <w:tcW w:w="3005" w:type="dxa"/>
          </w:tcPr>
          <w:p w:rsidR="00475843" w:rsidRPr="00386DEF" w:rsidRDefault="00D810E2" w:rsidP="00D810E2">
            <w:pPr>
              <w:rPr>
                <w:rFonts w:ascii="Arial" w:hAnsi="Arial" w:cs="Arial"/>
                <w:bCs/>
                <w:sz w:val="20"/>
                <w:szCs w:val="20"/>
              </w:rPr>
            </w:pPr>
            <w:r w:rsidRPr="00386DEF">
              <w:rPr>
                <w:rFonts w:ascii="Arial" w:hAnsi="Arial" w:cs="Arial"/>
                <w:bCs/>
                <w:sz w:val="20"/>
                <w:szCs w:val="20"/>
              </w:rPr>
              <w:t>No significant matters raised. Observation in relation to table 1F definitions.</w:t>
            </w:r>
          </w:p>
        </w:tc>
        <w:tc>
          <w:tcPr>
            <w:tcW w:w="3006" w:type="dxa"/>
          </w:tcPr>
          <w:p w:rsidR="00475843" w:rsidRPr="00386DEF" w:rsidRDefault="00D810E2" w:rsidP="00475843">
            <w:pPr>
              <w:rPr>
                <w:rFonts w:ascii="Arial" w:hAnsi="Arial" w:cs="Arial"/>
                <w:bCs/>
                <w:sz w:val="20"/>
                <w:szCs w:val="20"/>
              </w:rPr>
            </w:pPr>
            <w:r w:rsidRPr="00386DEF">
              <w:rPr>
                <w:rFonts w:ascii="Arial" w:hAnsi="Arial" w:cs="Arial"/>
                <w:bCs/>
                <w:sz w:val="20"/>
                <w:szCs w:val="20"/>
              </w:rPr>
              <w:t>Table narrative has been updated to clarify where RCV has been extracted from.</w:t>
            </w:r>
          </w:p>
        </w:tc>
      </w:tr>
    </w:tbl>
    <w:p w:rsidR="00723A6B" w:rsidRDefault="00723A6B" w:rsidP="00475843">
      <w:pPr>
        <w:spacing w:after="0" w:line="240" w:lineRule="auto"/>
        <w:rPr>
          <w:rFonts w:ascii="Arial" w:hAnsi="Arial" w:cs="Arial"/>
          <w:bCs/>
        </w:rPr>
      </w:pPr>
    </w:p>
    <w:p w:rsidR="00475843" w:rsidRPr="00386DEF" w:rsidRDefault="00475843" w:rsidP="00475843">
      <w:pPr>
        <w:spacing w:after="0" w:line="240" w:lineRule="auto"/>
        <w:rPr>
          <w:rFonts w:ascii="Arial" w:hAnsi="Arial" w:cs="Arial"/>
          <w:b/>
        </w:rPr>
      </w:pPr>
      <w:r w:rsidRPr="00386DEF">
        <w:rPr>
          <w:rFonts w:ascii="Arial" w:hAnsi="Arial" w:cs="Arial"/>
          <w:b/>
        </w:rPr>
        <w:t>Annual Performance Report – Non Financial (Atkins)</w:t>
      </w:r>
    </w:p>
    <w:tbl>
      <w:tblPr>
        <w:tblStyle w:val="TableGrid"/>
        <w:tblW w:w="0" w:type="auto"/>
        <w:tblLook w:val="04A0" w:firstRow="1" w:lastRow="0" w:firstColumn="1" w:lastColumn="0" w:noHBand="0" w:noVBand="1"/>
      </w:tblPr>
      <w:tblGrid>
        <w:gridCol w:w="3005"/>
        <w:gridCol w:w="3005"/>
        <w:gridCol w:w="3006"/>
      </w:tblGrid>
      <w:tr w:rsidR="00CA1154" w:rsidRPr="00475843" w:rsidTr="00AA4D92">
        <w:tc>
          <w:tcPr>
            <w:tcW w:w="3005" w:type="dxa"/>
          </w:tcPr>
          <w:p w:rsidR="00CA1154" w:rsidRPr="00386DEF" w:rsidRDefault="00CA1154" w:rsidP="00B0167A">
            <w:pPr>
              <w:rPr>
                <w:rFonts w:ascii="Arial" w:hAnsi="Arial" w:cs="Arial"/>
                <w:bCs/>
                <w:sz w:val="20"/>
                <w:szCs w:val="20"/>
              </w:rPr>
            </w:pPr>
            <w:r w:rsidRPr="00386DEF">
              <w:rPr>
                <w:rFonts w:ascii="Arial" w:hAnsi="Arial" w:cs="Arial"/>
                <w:bCs/>
                <w:sz w:val="20"/>
                <w:szCs w:val="20"/>
              </w:rPr>
              <w:t>Area</w:t>
            </w:r>
          </w:p>
        </w:tc>
        <w:tc>
          <w:tcPr>
            <w:tcW w:w="3005" w:type="dxa"/>
          </w:tcPr>
          <w:p w:rsidR="00CA1154" w:rsidRPr="00386DEF" w:rsidRDefault="00CA1154" w:rsidP="00B0167A">
            <w:pPr>
              <w:rPr>
                <w:rFonts w:ascii="Arial" w:hAnsi="Arial" w:cs="Arial"/>
                <w:bCs/>
                <w:sz w:val="20"/>
                <w:szCs w:val="20"/>
              </w:rPr>
            </w:pPr>
            <w:r w:rsidRPr="00386DEF">
              <w:rPr>
                <w:rFonts w:ascii="Arial" w:hAnsi="Arial" w:cs="Arial"/>
                <w:bCs/>
                <w:sz w:val="20"/>
                <w:szCs w:val="20"/>
              </w:rPr>
              <w:t>Finding</w:t>
            </w:r>
          </w:p>
        </w:tc>
        <w:tc>
          <w:tcPr>
            <w:tcW w:w="3006" w:type="dxa"/>
          </w:tcPr>
          <w:p w:rsidR="00CA1154" w:rsidRPr="00386DEF" w:rsidRDefault="00CA1154" w:rsidP="00B0167A">
            <w:pPr>
              <w:rPr>
                <w:rFonts w:ascii="Arial" w:hAnsi="Arial" w:cs="Arial"/>
                <w:bCs/>
                <w:sz w:val="20"/>
                <w:szCs w:val="20"/>
              </w:rPr>
            </w:pPr>
            <w:r w:rsidRPr="00386DEF">
              <w:rPr>
                <w:rFonts w:ascii="Arial" w:hAnsi="Arial" w:cs="Arial"/>
                <w:bCs/>
                <w:sz w:val="20"/>
                <w:szCs w:val="20"/>
              </w:rPr>
              <w:t>Impact</w:t>
            </w:r>
          </w:p>
        </w:tc>
      </w:tr>
      <w:tr w:rsidR="00B0167A" w:rsidRPr="00475843" w:rsidTr="00AA4D92">
        <w:tc>
          <w:tcPr>
            <w:tcW w:w="3005" w:type="dxa"/>
          </w:tcPr>
          <w:p w:rsidR="00B0167A" w:rsidRPr="00386DEF" w:rsidRDefault="00B0167A" w:rsidP="00B0167A">
            <w:pPr>
              <w:rPr>
                <w:rFonts w:ascii="Arial" w:hAnsi="Arial" w:cs="Arial"/>
                <w:bCs/>
                <w:sz w:val="20"/>
                <w:szCs w:val="20"/>
              </w:rPr>
            </w:pPr>
          </w:p>
          <w:p w:rsidR="00B0167A" w:rsidRPr="00386DEF" w:rsidRDefault="00B0167A" w:rsidP="00B0167A">
            <w:pPr>
              <w:rPr>
                <w:rFonts w:ascii="Arial" w:hAnsi="Arial" w:cs="Arial"/>
                <w:bCs/>
                <w:sz w:val="20"/>
                <w:szCs w:val="20"/>
              </w:rPr>
            </w:pPr>
            <w:r w:rsidRPr="00386DEF">
              <w:rPr>
                <w:rFonts w:ascii="Arial" w:hAnsi="Arial" w:cs="Arial"/>
                <w:bCs/>
                <w:sz w:val="20"/>
                <w:szCs w:val="20"/>
              </w:rPr>
              <w:t>Wholesale Cost Assessment</w:t>
            </w:r>
          </w:p>
          <w:p w:rsidR="00B0167A" w:rsidRPr="00386DEF" w:rsidRDefault="00B0167A" w:rsidP="00B0167A">
            <w:pPr>
              <w:rPr>
                <w:rFonts w:ascii="Arial" w:hAnsi="Arial" w:cs="Arial"/>
                <w:bCs/>
                <w:sz w:val="20"/>
                <w:szCs w:val="20"/>
              </w:rPr>
            </w:pPr>
          </w:p>
          <w:p w:rsidR="00B0167A" w:rsidRPr="00386DEF" w:rsidRDefault="00B0167A" w:rsidP="00B0167A">
            <w:pPr>
              <w:rPr>
                <w:rFonts w:ascii="Arial" w:hAnsi="Arial" w:cs="Arial"/>
                <w:bCs/>
                <w:sz w:val="20"/>
                <w:szCs w:val="20"/>
              </w:rPr>
            </w:pPr>
          </w:p>
          <w:p w:rsidR="00B0167A" w:rsidRPr="00386DEF" w:rsidRDefault="00B0167A" w:rsidP="00B0167A">
            <w:pPr>
              <w:rPr>
                <w:rFonts w:ascii="Arial" w:hAnsi="Arial" w:cs="Arial"/>
                <w:bCs/>
                <w:sz w:val="20"/>
                <w:szCs w:val="20"/>
              </w:rPr>
            </w:pPr>
          </w:p>
        </w:tc>
        <w:tc>
          <w:tcPr>
            <w:tcW w:w="3005" w:type="dxa"/>
          </w:tcPr>
          <w:p w:rsidR="00B0167A" w:rsidRPr="00386DEF" w:rsidRDefault="00B0167A" w:rsidP="00B0167A">
            <w:pPr>
              <w:rPr>
                <w:rFonts w:ascii="Arial" w:hAnsi="Arial" w:cs="Arial"/>
                <w:bCs/>
                <w:sz w:val="20"/>
                <w:szCs w:val="20"/>
              </w:rPr>
            </w:pPr>
          </w:p>
          <w:p w:rsidR="00B0167A" w:rsidRPr="00386DEF" w:rsidRDefault="00B0167A" w:rsidP="00B0167A">
            <w:pPr>
              <w:rPr>
                <w:rFonts w:ascii="Arial" w:hAnsi="Arial" w:cs="Arial"/>
                <w:bCs/>
                <w:sz w:val="20"/>
                <w:szCs w:val="20"/>
              </w:rPr>
            </w:pPr>
            <w:r w:rsidRPr="00386DEF">
              <w:rPr>
                <w:rFonts w:ascii="Arial" w:hAnsi="Arial" w:cs="Arial"/>
                <w:bCs/>
                <w:sz w:val="20"/>
                <w:szCs w:val="20"/>
              </w:rPr>
              <w:t>The reporting guidelines have been followed, though capital allocations had not been agreed between Finance and the Capital Programme Manager pre-audit.</w:t>
            </w:r>
          </w:p>
        </w:tc>
        <w:tc>
          <w:tcPr>
            <w:tcW w:w="3006" w:type="dxa"/>
          </w:tcPr>
          <w:p w:rsidR="00B0167A" w:rsidRPr="00386DEF" w:rsidRDefault="00B0167A" w:rsidP="00B0167A">
            <w:pPr>
              <w:rPr>
                <w:rFonts w:ascii="Arial" w:hAnsi="Arial" w:cs="Arial"/>
                <w:bCs/>
                <w:sz w:val="20"/>
                <w:szCs w:val="20"/>
              </w:rPr>
            </w:pPr>
          </w:p>
          <w:p w:rsidR="00B0167A" w:rsidRPr="00386DEF" w:rsidRDefault="00B0167A" w:rsidP="00F76F8F">
            <w:pPr>
              <w:rPr>
                <w:rFonts w:ascii="Arial" w:hAnsi="Arial" w:cs="Arial"/>
                <w:bCs/>
                <w:sz w:val="20"/>
                <w:szCs w:val="20"/>
              </w:rPr>
            </w:pPr>
            <w:r w:rsidRPr="00386DEF">
              <w:rPr>
                <w:rFonts w:ascii="Arial" w:hAnsi="Arial" w:cs="Arial"/>
                <w:bCs/>
                <w:sz w:val="20"/>
                <w:szCs w:val="20"/>
              </w:rPr>
              <w:t>Potential misreporting; this issue has now been rectified and a new internal process to agree capital allocations when the scheme commences.</w:t>
            </w:r>
          </w:p>
        </w:tc>
      </w:tr>
      <w:tr w:rsidR="00B0167A" w:rsidRPr="00475843" w:rsidTr="00AA4D92">
        <w:tc>
          <w:tcPr>
            <w:tcW w:w="3005" w:type="dxa"/>
          </w:tcPr>
          <w:p w:rsidR="00B0167A" w:rsidRPr="00386DEF" w:rsidRDefault="00B0167A" w:rsidP="00B0167A">
            <w:pPr>
              <w:rPr>
                <w:rFonts w:ascii="Arial" w:hAnsi="Arial" w:cs="Arial"/>
                <w:bCs/>
                <w:sz w:val="20"/>
                <w:szCs w:val="20"/>
              </w:rPr>
            </w:pPr>
          </w:p>
          <w:p w:rsidR="00B0167A" w:rsidRPr="00386DEF" w:rsidRDefault="00B0167A" w:rsidP="00B0167A">
            <w:pPr>
              <w:rPr>
                <w:rFonts w:ascii="Arial" w:hAnsi="Arial" w:cs="Arial"/>
                <w:bCs/>
                <w:sz w:val="20"/>
                <w:szCs w:val="20"/>
              </w:rPr>
            </w:pPr>
            <w:r w:rsidRPr="00386DEF">
              <w:rPr>
                <w:rFonts w:ascii="Arial" w:hAnsi="Arial" w:cs="Arial"/>
                <w:bCs/>
                <w:sz w:val="20"/>
                <w:szCs w:val="20"/>
              </w:rPr>
              <w:t>Shadow Reporting of Common ODIs for PR19.</w:t>
            </w:r>
          </w:p>
          <w:p w:rsidR="00B0167A" w:rsidRPr="00386DEF" w:rsidRDefault="00B0167A" w:rsidP="00B0167A">
            <w:pPr>
              <w:rPr>
                <w:rFonts w:ascii="Arial" w:hAnsi="Arial" w:cs="Arial"/>
                <w:bCs/>
                <w:sz w:val="20"/>
                <w:szCs w:val="20"/>
              </w:rPr>
            </w:pPr>
          </w:p>
          <w:p w:rsidR="00B0167A" w:rsidRPr="00386DEF" w:rsidRDefault="00B0167A" w:rsidP="00B0167A">
            <w:pPr>
              <w:rPr>
                <w:rFonts w:ascii="Arial" w:hAnsi="Arial" w:cs="Arial"/>
                <w:bCs/>
                <w:sz w:val="20"/>
                <w:szCs w:val="20"/>
              </w:rPr>
            </w:pPr>
          </w:p>
          <w:p w:rsidR="00B0167A" w:rsidRPr="00386DEF" w:rsidRDefault="00B0167A" w:rsidP="00B0167A">
            <w:pPr>
              <w:rPr>
                <w:rFonts w:ascii="Arial" w:hAnsi="Arial" w:cs="Arial"/>
                <w:bCs/>
                <w:sz w:val="20"/>
                <w:szCs w:val="20"/>
              </w:rPr>
            </w:pPr>
          </w:p>
        </w:tc>
        <w:tc>
          <w:tcPr>
            <w:tcW w:w="3005" w:type="dxa"/>
          </w:tcPr>
          <w:p w:rsidR="00B0167A" w:rsidRPr="00386DEF" w:rsidRDefault="00B0167A" w:rsidP="00B0167A">
            <w:pPr>
              <w:rPr>
                <w:rFonts w:ascii="Arial" w:hAnsi="Arial" w:cs="Arial"/>
                <w:bCs/>
                <w:sz w:val="20"/>
                <w:szCs w:val="20"/>
              </w:rPr>
            </w:pPr>
          </w:p>
          <w:p w:rsidR="00B0167A" w:rsidRPr="00386DEF" w:rsidRDefault="00B0167A" w:rsidP="00B0167A">
            <w:pPr>
              <w:rPr>
                <w:rFonts w:ascii="Arial" w:hAnsi="Arial" w:cs="Arial"/>
                <w:bCs/>
                <w:sz w:val="20"/>
                <w:szCs w:val="20"/>
              </w:rPr>
            </w:pPr>
            <w:r w:rsidRPr="00386DEF">
              <w:rPr>
                <w:rFonts w:ascii="Arial" w:hAnsi="Arial" w:cs="Arial"/>
                <w:bCs/>
                <w:sz w:val="20"/>
                <w:szCs w:val="20"/>
              </w:rPr>
              <w:t>The methodologies that have been used to report the common ODIs in Table S3 are consistent with the technical guidance.</w:t>
            </w:r>
          </w:p>
        </w:tc>
        <w:tc>
          <w:tcPr>
            <w:tcW w:w="3006" w:type="dxa"/>
          </w:tcPr>
          <w:p w:rsidR="00B0167A" w:rsidRPr="00386DEF" w:rsidRDefault="00B0167A" w:rsidP="00B0167A">
            <w:pPr>
              <w:rPr>
                <w:rFonts w:ascii="Arial" w:hAnsi="Arial" w:cs="Arial"/>
                <w:bCs/>
                <w:sz w:val="20"/>
                <w:szCs w:val="20"/>
              </w:rPr>
            </w:pPr>
          </w:p>
          <w:p w:rsidR="00B0167A" w:rsidRPr="00386DEF" w:rsidRDefault="00B0167A" w:rsidP="00B0167A">
            <w:pPr>
              <w:rPr>
                <w:rFonts w:ascii="Arial" w:hAnsi="Arial" w:cs="Arial"/>
                <w:bCs/>
                <w:sz w:val="20"/>
                <w:szCs w:val="20"/>
              </w:rPr>
            </w:pPr>
            <w:r w:rsidRPr="00386DEF">
              <w:rPr>
                <w:rFonts w:ascii="Arial" w:hAnsi="Arial" w:cs="Arial"/>
                <w:bCs/>
                <w:sz w:val="20"/>
                <w:szCs w:val="20"/>
              </w:rPr>
              <w:t>Where shortfalls occur the Company have assessed data accuracy in accordance with Red / Amber / Green classifications.</w:t>
            </w:r>
          </w:p>
          <w:p w:rsidR="00CA1154" w:rsidRPr="00386DEF" w:rsidRDefault="00CA1154" w:rsidP="00B0167A">
            <w:pPr>
              <w:rPr>
                <w:rFonts w:ascii="Arial" w:hAnsi="Arial" w:cs="Arial"/>
                <w:bCs/>
                <w:sz w:val="20"/>
                <w:szCs w:val="20"/>
              </w:rPr>
            </w:pPr>
          </w:p>
          <w:p w:rsidR="00CA1154" w:rsidRPr="00386DEF" w:rsidRDefault="00CA1154" w:rsidP="00B0167A">
            <w:pPr>
              <w:rPr>
                <w:rFonts w:ascii="Arial" w:hAnsi="Arial" w:cs="Arial"/>
                <w:bCs/>
                <w:sz w:val="20"/>
                <w:szCs w:val="20"/>
              </w:rPr>
            </w:pPr>
            <w:r w:rsidRPr="00386DEF">
              <w:rPr>
                <w:rFonts w:ascii="Arial" w:hAnsi="Arial" w:cs="Arial"/>
                <w:bCs/>
                <w:sz w:val="20"/>
                <w:szCs w:val="20"/>
              </w:rPr>
              <w:t>We have action plans in place to ensure reporting compliance by April 2020.</w:t>
            </w:r>
          </w:p>
          <w:p w:rsidR="00CA1154" w:rsidRPr="00386DEF" w:rsidRDefault="00CA1154" w:rsidP="00B0167A">
            <w:pPr>
              <w:rPr>
                <w:rFonts w:ascii="Arial" w:hAnsi="Arial" w:cs="Arial"/>
                <w:bCs/>
                <w:sz w:val="20"/>
                <w:szCs w:val="20"/>
              </w:rPr>
            </w:pPr>
          </w:p>
        </w:tc>
      </w:tr>
    </w:tbl>
    <w:p w:rsidR="00475843" w:rsidRPr="00475843" w:rsidRDefault="00475843" w:rsidP="00475843">
      <w:pPr>
        <w:spacing w:after="0" w:line="240" w:lineRule="auto"/>
        <w:rPr>
          <w:rFonts w:ascii="Arial" w:hAnsi="Arial" w:cs="Arial"/>
          <w:bCs/>
        </w:rPr>
      </w:pPr>
    </w:p>
    <w:p w:rsidR="00475843" w:rsidRPr="00386DEF" w:rsidRDefault="00475843" w:rsidP="00475843">
      <w:pPr>
        <w:spacing w:after="0" w:line="240" w:lineRule="auto"/>
        <w:rPr>
          <w:rFonts w:ascii="Arial" w:hAnsi="Arial" w:cs="Arial"/>
          <w:b/>
        </w:rPr>
      </w:pPr>
      <w:r w:rsidRPr="00386DEF">
        <w:rPr>
          <w:rFonts w:ascii="Arial" w:hAnsi="Arial" w:cs="Arial"/>
          <w:b/>
        </w:rPr>
        <w:t>ODI Report – (Atkins)</w:t>
      </w:r>
    </w:p>
    <w:tbl>
      <w:tblPr>
        <w:tblStyle w:val="TableGrid"/>
        <w:tblW w:w="0" w:type="auto"/>
        <w:tblLook w:val="04A0" w:firstRow="1" w:lastRow="0" w:firstColumn="1" w:lastColumn="0" w:noHBand="0" w:noVBand="1"/>
      </w:tblPr>
      <w:tblGrid>
        <w:gridCol w:w="3005"/>
        <w:gridCol w:w="3005"/>
        <w:gridCol w:w="3006"/>
      </w:tblGrid>
      <w:tr w:rsidR="00CA1154" w:rsidRPr="00475843" w:rsidTr="00AA4D92">
        <w:tc>
          <w:tcPr>
            <w:tcW w:w="3005" w:type="dxa"/>
          </w:tcPr>
          <w:p w:rsidR="00CA1154" w:rsidRPr="00386DEF" w:rsidRDefault="00CA1154" w:rsidP="00CA1154">
            <w:pPr>
              <w:rPr>
                <w:rFonts w:ascii="Arial" w:hAnsi="Arial" w:cs="Arial"/>
                <w:bCs/>
                <w:sz w:val="20"/>
                <w:szCs w:val="20"/>
              </w:rPr>
            </w:pPr>
            <w:r w:rsidRPr="00386DEF">
              <w:rPr>
                <w:rFonts w:ascii="Arial" w:hAnsi="Arial" w:cs="Arial"/>
                <w:bCs/>
                <w:sz w:val="20"/>
                <w:szCs w:val="20"/>
              </w:rPr>
              <w:t>Area</w:t>
            </w:r>
          </w:p>
        </w:tc>
        <w:tc>
          <w:tcPr>
            <w:tcW w:w="3005" w:type="dxa"/>
          </w:tcPr>
          <w:p w:rsidR="00CA1154" w:rsidRPr="00386DEF" w:rsidRDefault="00CA1154" w:rsidP="00CA1154">
            <w:pPr>
              <w:rPr>
                <w:rFonts w:ascii="Arial" w:hAnsi="Arial" w:cs="Arial"/>
                <w:bCs/>
                <w:sz w:val="20"/>
                <w:szCs w:val="20"/>
              </w:rPr>
            </w:pPr>
            <w:r w:rsidRPr="00386DEF">
              <w:rPr>
                <w:rFonts w:ascii="Arial" w:hAnsi="Arial" w:cs="Arial"/>
                <w:bCs/>
                <w:sz w:val="20"/>
                <w:szCs w:val="20"/>
              </w:rPr>
              <w:t>Finding</w:t>
            </w:r>
          </w:p>
        </w:tc>
        <w:tc>
          <w:tcPr>
            <w:tcW w:w="3006" w:type="dxa"/>
          </w:tcPr>
          <w:p w:rsidR="00CA1154" w:rsidRPr="00386DEF" w:rsidRDefault="00CA1154" w:rsidP="00CA1154">
            <w:pPr>
              <w:rPr>
                <w:rFonts w:ascii="Arial" w:hAnsi="Arial" w:cs="Arial"/>
                <w:bCs/>
                <w:sz w:val="20"/>
                <w:szCs w:val="20"/>
              </w:rPr>
            </w:pPr>
            <w:r w:rsidRPr="00386DEF">
              <w:rPr>
                <w:rFonts w:ascii="Arial" w:hAnsi="Arial" w:cs="Arial"/>
                <w:bCs/>
                <w:sz w:val="20"/>
                <w:szCs w:val="20"/>
              </w:rPr>
              <w:t>Impact</w:t>
            </w:r>
          </w:p>
        </w:tc>
      </w:tr>
      <w:tr w:rsidR="00CA1154" w:rsidRPr="00475843" w:rsidTr="00AA4D92">
        <w:tc>
          <w:tcPr>
            <w:tcW w:w="3005" w:type="dxa"/>
          </w:tcPr>
          <w:p w:rsidR="00CA1154" w:rsidRPr="00386DEF" w:rsidRDefault="00CA1154" w:rsidP="00CA1154">
            <w:pPr>
              <w:rPr>
                <w:rFonts w:ascii="Arial" w:hAnsi="Arial" w:cs="Arial"/>
                <w:bCs/>
                <w:sz w:val="20"/>
                <w:szCs w:val="20"/>
              </w:rPr>
            </w:pPr>
          </w:p>
          <w:p w:rsidR="00CA1154" w:rsidRPr="00386DEF" w:rsidRDefault="00CA1154" w:rsidP="00CA1154">
            <w:pPr>
              <w:rPr>
                <w:rFonts w:ascii="Arial" w:hAnsi="Arial" w:cs="Arial"/>
                <w:bCs/>
                <w:sz w:val="20"/>
                <w:szCs w:val="20"/>
              </w:rPr>
            </w:pPr>
            <w:r w:rsidRPr="00386DEF">
              <w:rPr>
                <w:rFonts w:ascii="Arial" w:hAnsi="Arial" w:cs="Arial"/>
                <w:bCs/>
                <w:sz w:val="20"/>
                <w:szCs w:val="20"/>
              </w:rPr>
              <w:t>Outcome Deliver Incentive mechanisms (PR14)</w:t>
            </w:r>
          </w:p>
          <w:p w:rsidR="00CA1154" w:rsidRPr="00386DEF" w:rsidRDefault="00CA1154" w:rsidP="00CA1154">
            <w:pPr>
              <w:rPr>
                <w:rFonts w:ascii="Arial" w:hAnsi="Arial" w:cs="Arial"/>
                <w:bCs/>
                <w:sz w:val="20"/>
                <w:szCs w:val="20"/>
              </w:rPr>
            </w:pPr>
          </w:p>
          <w:p w:rsidR="00CA1154" w:rsidRPr="00386DEF" w:rsidRDefault="00CA1154" w:rsidP="00CA1154">
            <w:pPr>
              <w:rPr>
                <w:rFonts w:ascii="Arial" w:hAnsi="Arial" w:cs="Arial"/>
                <w:bCs/>
                <w:sz w:val="20"/>
                <w:szCs w:val="20"/>
              </w:rPr>
            </w:pPr>
          </w:p>
          <w:p w:rsidR="00CA1154" w:rsidRPr="00386DEF" w:rsidRDefault="00CA1154" w:rsidP="00CA1154">
            <w:pPr>
              <w:rPr>
                <w:rFonts w:ascii="Arial" w:hAnsi="Arial" w:cs="Arial"/>
                <w:bCs/>
                <w:sz w:val="20"/>
                <w:szCs w:val="20"/>
              </w:rPr>
            </w:pPr>
          </w:p>
        </w:tc>
        <w:tc>
          <w:tcPr>
            <w:tcW w:w="3005" w:type="dxa"/>
          </w:tcPr>
          <w:p w:rsidR="00CA1154" w:rsidRPr="00386DEF" w:rsidRDefault="00CA1154" w:rsidP="00CA1154">
            <w:pPr>
              <w:rPr>
                <w:rFonts w:ascii="Arial" w:hAnsi="Arial" w:cs="Arial"/>
                <w:bCs/>
                <w:sz w:val="20"/>
                <w:szCs w:val="20"/>
              </w:rPr>
            </w:pPr>
          </w:p>
          <w:p w:rsidR="00CA1154" w:rsidRPr="00386DEF" w:rsidRDefault="00CA1154" w:rsidP="00CA1154">
            <w:pPr>
              <w:rPr>
                <w:rFonts w:ascii="Arial" w:hAnsi="Arial" w:cs="Arial"/>
                <w:bCs/>
                <w:sz w:val="20"/>
                <w:szCs w:val="20"/>
              </w:rPr>
            </w:pPr>
            <w:r w:rsidRPr="00386DEF">
              <w:rPr>
                <w:rFonts w:ascii="Arial" w:hAnsi="Arial" w:cs="Arial"/>
                <w:bCs/>
                <w:sz w:val="20"/>
                <w:szCs w:val="20"/>
              </w:rPr>
              <w:t>The Company has appropriate systems, procedures and reporting mechanism in place to meet its reporting obligations.</w:t>
            </w:r>
          </w:p>
          <w:p w:rsidR="00CA1154" w:rsidRPr="00386DEF" w:rsidRDefault="00CA1154" w:rsidP="00CA1154">
            <w:pPr>
              <w:rPr>
                <w:rFonts w:ascii="Arial" w:hAnsi="Arial" w:cs="Arial"/>
                <w:bCs/>
                <w:sz w:val="20"/>
                <w:szCs w:val="20"/>
              </w:rPr>
            </w:pPr>
          </w:p>
          <w:p w:rsidR="00CA1154" w:rsidRPr="00386DEF" w:rsidRDefault="00CA1154" w:rsidP="00CA1154">
            <w:pPr>
              <w:rPr>
                <w:rFonts w:ascii="Arial" w:hAnsi="Arial" w:cs="Arial"/>
                <w:bCs/>
                <w:sz w:val="20"/>
                <w:szCs w:val="20"/>
              </w:rPr>
            </w:pPr>
            <w:r w:rsidRPr="00386DEF">
              <w:rPr>
                <w:rFonts w:ascii="Arial" w:hAnsi="Arial" w:cs="Arial"/>
                <w:bCs/>
                <w:sz w:val="20"/>
                <w:szCs w:val="20"/>
              </w:rPr>
              <w:t>The Company understands the accuracy of the data it is providing.</w:t>
            </w:r>
          </w:p>
          <w:p w:rsidR="00CA1154" w:rsidRPr="00386DEF" w:rsidRDefault="00CA1154" w:rsidP="00CA1154">
            <w:pPr>
              <w:rPr>
                <w:rFonts w:ascii="Arial" w:hAnsi="Arial" w:cs="Arial"/>
                <w:bCs/>
                <w:sz w:val="20"/>
                <w:szCs w:val="20"/>
              </w:rPr>
            </w:pPr>
          </w:p>
        </w:tc>
        <w:tc>
          <w:tcPr>
            <w:tcW w:w="3006" w:type="dxa"/>
          </w:tcPr>
          <w:p w:rsidR="00CA1154" w:rsidRPr="00386DEF" w:rsidRDefault="00CA1154" w:rsidP="00CA1154">
            <w:pPr>
              <w:rPr>
                <w:rFonts w:ascii="Arial" w:hAnsi="Arial" w:cs="Arial"/>
                <w:bCs/>
                <w:sz w:val="20"/>
                <w:szCs w:val="20"/>
              </w:rPr>
            </w:pPr>
          </w:p>
          <w:p w:rsidR="00CA1154" w:rsidRPr="00386DEF" w:rsidRDefault="00CA1154" w:rsidP="00CA1154">
            <w:pPr>
              <w:rPr>
                <w:rFonts w:ascii="Arial" w:hAnsi="Arial" w:cs="Arial"/>
                <w:bCs/>
                <w:sz w:val="20"/>
                <w:szCs w:val="20"/>
              </w:rPr>
            </w:pPr>
          </w:p>
        </w:tc>
      </w:tr>
      <w:tr w:rsidR="00CA1154" w:rsidRPr="00475843" w:rsidTr="00AA4D92">
        <w:tc>
          <w:tcPr>
            <w:tcW w:w="3005" w:type="dxa"/>
          </w:tcPr>
          <w:p w:rsidR="00CA1154" w:rsidRPr="00386DEF" w:rsidRDefault="00CA1154" w:rsidP="00CA1154">
            <w:pPr>
              <w:rPr>
                <w:rFonts w:ascii="Arial" w:hAnsi="Arial" w:cs="Arial"/>
                <w:bCs/>
                <w:sz w:val="20"/>
                <w:szCs w:val="20"/>
              </w:rPr>
            </w:pPr>
            <w:r w:rsidRPr="00386DEF">
              <w:rPr>
                <w:rFonts w:ascii="Arial" w:hAnsi="Arial" w:cs="Arial"/>
                <w:bCs/>
                <w:sz w:val="20"/>
                <w:szCs w:val="20"/>
              </w:rPr>
              <w:t>Control observations</w:t>
            </w:r>
          </w:p>
        </w:tc>
        <w:tc>
          <w:tcPr>
            <w:tcW w:w="3005" w:type="dxa"/>
          </w:tcPr>
          <w:p w:rsidR="00CA1154" w:rsidRPr="00386DEF" w:rsidRDefault="00450894" w:rsidP="00450894">
            <w:pPr>
              <w:rPr>
                <w:rFonts w:ascii="Arial" w:hAnsi="Arial" w:cs="Arial"/>
                <w:bCs/>
                <w:sz w:val="20"/>
                <w:szCs w:val="20"/>
              </w:rPr>
            </w:pPr>
            <w:r w:rsidRPr="00386DEF">
              <w:rPr>
                <w:rFonts w:ascii="Arial" w:hAnsi="Arial" w:cs="Arial"/>
                <w:sz w:val="20"/>
                <w:szCs w:val="20"/>
              </w:rPr>
              <w:t>In three areas it was noted that there is a lack of evidence that spreadsheets and processes have been peer reviewed or checked internally before external assurance.</w:t>
            </w:r>
          </w:p>
        </w:tc>
        <w:tc>
          <w:tcPr>
            <w:tcW w:w="3006" w:type="dxa"/>
          </w:tcPr>
          <w:p w:rsidR="00CA1154" w:rsidRPr="00386DEF" w:rsidRDefault="00450894" w:rsidP="00450894">
            <w:pPr>
              <w:rPr>
                <w:rFonts w:ascii="Arial" w:hAnsi="Arial" w:cs="Arial"/>
                <w:bCs/>
                <w:sz w:val="20"/>
                <w:szCs w:val="20"/>
              </w:rPr>
            </w:pPr>
            <w:r w:rsidRPr="00386DEF">
              <w:rPr>
                <w:rFonts w:ascii="Arial" w:hAnsi="Arial" w:cs="Arial"/>
                <w:bCs/>
                <w:sz w:val="20"/>
                <w:szCs w:val="20"/>
              </w:rPr>
              <w:t>We have reinforced the operation of the internal control processes with the relevant personnel.</w:t>
            </w:r>
          </w:p>
        </w:tc>
      </w:tr>
      <w:tr w:rsidR="00CA1154" w:rsidRPr="00475843" w:rsidTr="00386DEF">
        <w:trPr>
          <w:trHeight w:val="4106"/>
        </w:trPr>
        <w:tc>
          <w:tcPr>
            <w:tcW w:w="3005" w:type="dxa"/>
          </w:tcPr>
          <w:p w:rsidR="00CA1154" w:rsidRPr="00386DEF" w:rsidRDefault="00CA1154" w:rsidP="00CA1154">
            <w:pPr>
              <w:rPr>
                <w:rFonts w:ascii="Arial" w:hAnsi="Arial" w:cs="Arial"/>
                <w:bCs/>
                <w:sz w:val="20"/>
                <w:szCs w:val="20"/>
              </w:rPr>
            </w:pPr>
            <w:r w:rsidRPr="00386DEF">
              <w:rPr>
                <w:rFonts w:ascii="Arial" w:hAnsi="Arial" w:cs="Arial"/>
                <w:bCs/>
                <w:sz w:val="20"/>
                <w:szCs w:val="20"/>
              </w:rPr>
              <w:lastRenderedPageBreak/>
              <w:t>Other Key Performance Indicators (KPIs)</w:t>
            </w:r>
          </w:p>
          <w:p w:rsidR="00CA1154" w:rsidRPr="00386DEF" w:rsidRDefault="00CA1154" w:rsidP="00CA1154">
            <w:pPr>
              <w:rPr>
                <w:rFonts w:ascii="Arial" w:hAnsi="Arial" w:cs="Arial"/>
                <w:bCs/>
                <w:sz w:val="20"/>
                <w:szCs w:val="20"/>
              </w:rPr>
            </w:pPr>
          </w:p>
          <w:p w:rsidR="00CA1154" w:rsidRPr="00386DEF" w:rsidRDefault="00CA1154" w:rsidP="00CA1154">
            <w:pPr>
              <w:rPr>
                <w:rFonts w:ascii="Arial" w:hAnsi="Arial" w:cs="Arial"/>
                <w:bCs/>
                <w:sz w:val="20"/>
                <w:szCs w:val="20"/>
              </w:rPr>
            </w:pPr>
          </w:p>
          <w:p w:rsidR="00CA1154" w:rsidRPr="00386DEF" w:rsidRDefault="00CA1154" w:rsidP="00CA1154">
            <w:pPr>
              <w:rPr>
                <w:rFonts w:ascii="Arial" w:hAnsi="Arial" w:cs="Arial"/>
                <w:bCs/>
                <w:sz w:val="20"/>
                <w:szCs w:val="20"/>
              </w:rPr>
            </w:pPr>
          </w:p>
        </w:tc>
        <w:tc>
          <w:tcPr>
            <w:tcW w:w="3005" w:type="dxa"/>
          </w:tcPr>
          <w:p w:rsidR="00CA1154" w:rsidRPr="00386DEF" w:rsidRDefault="00CA1154" w:rsidP="00CA1154">
            <w:pPr>
              <w:rPr>
                <w:rFonts w:ascii="Arial" w:hAnsi="Arial" w:cs="Arial"/>
                <w:bCs/>
                <w:sz w:val="20"/>
                <w:szCs w:val="20"/>
              </w:rPr>
            </w:pPr>
            <w:r w:rsidRPr="00386DEF">
              <w:rPr>
                <w:rFonts w:ascii="Arial" w:hAnsi="Arial" w:cs="Arial"/>
                <w:bCs/>
                <w:sz w:val="20"/>
                <w:szCs w:val="20"/>
              </w:rPr>
              <w:t>Generally the Company has good reporting processes to report other data requested by stakeholders.</w:t>
            </w:r>
          </w:p>
          <w:p w:rsidR="00CA1154" w:rsidRPr="00386DEF" w:rsidRDefault="00CA1154" w:rsidP="00CA1154">
            <w:pPr>
              <w:rPr>
                <w:rFonts w:ascii="Arial" w:hAnsi="Arial" w:cs="Arial"/>
                <w:bCs/>
                <w:sz w:val="20"/>
                <w:szCs w:val="20"/>
              </w:rPr>
            </w:pPr>
          </w:p>
          <w:p w:rsidR="00CA1154" w:rsidRPr="00386DEF" w:rsidRDefault="00CA1154" w:rsidP="00CA1154">
            <w:pPr>
              <w:rPr>
                <w:rFonts w:ascii="Arial" w:hAnsi="Arial" w:cs="Arial"/>
                <w:sz w:val="20"/>
                <w:szCs w:val="20"/>
              </w:rPr>
            </w:pPr>
            <w:r w:rsidRPr="00386DEF">
              <w:rPr>
                <w:rFonts w:ascii="Arial" w:hAnsi="Arial" w:cs="Arial"/>
                <w:sz w:val="20"/>
                <w:szCs w:val="20"/>
              </w:rPr>
              <w:t>The Reporter found that appointments made by sub-contractors and made in association with meter installations are not being well managed.</w:t>
            </w:r>
          </w:p>
          <w:p w:rsidR="00CA1154" w:rsidRPr="00386DEF" w:rsidRDefault="00CA1154" w:rsidP="00CA1154">
            <w:pPr>
              <w:rPr>
                <w:rFonts w:ascii="Arial" w:hAnsi="Arial" w:cs="Arial"/>
                <w:sz w:val="20"/>
                <w:szCs w:val="20"/>
              </w:rPr>
            </w:pPr>
          </w:p>
          <w:p w:rsidR="00CA1154" w:rsidRPr="00386DEF" w:rsidRDefault="00450894" w:rsidP="00386DEF">
            <w:pPr>
              <w:spacing w:after="120"/>
              <w:rPr>
                <w:rFonts w:ascii="Arial" w:hAnsi="Arial" w:cs="Arial"/>
                <w:bCs/>
                <w:sz w:val="20"/>
                <w:szCs w:val="20"/>
              </w:rPr>
            </w:pPr>
            <w:r w:rsidRPr="00386DEF">
              <w:rPr>
                <w:rFonts w:ascii="Arial" w:hAnsi="Arial" w:cs="Arial"/>
                <w:sz w:val="20"/>
                <w:szCs w:val="20"/>
              </w:rPr>
              <w:t>F</w:t>
            </w:r>
            <w:r w:rsidR="00CA1154" w:rsidRPr="00386DEF">
              <w:rPr>
                <w:rFonts w:ascii="Arial" w:hAnsi="Arial" w:cs="Arial"/>
                <w:sz w:val="20"/>
                <w:szCs w:val="20"/>
              </w:rPr>
              <w:t xml:space="preserve">or Developer Services, </w:t>
            </w:r>
            <w:r w:rsidRPr="00386DEF">
              <w:rPr>
                <w:rFonts w:ascii="Arial" w:hAnsi="Arial" w:cs="Arial"/>
                <w:sz w:val="20"/>
                <w:szCs w:val="20"/>
              </w:rPr>
              <w:t xml:space="preserve">the Reporter </w:t>
            </w:r>
            <w:r w:rsidR="00CA1154" w:rsidRPr="00386DEF">
              <w:rPr>
                <w:rFonts w:ascii="Arial" w:hAnsi="Arial" w:cs="Arial"/>
                <w:sz w:val="20"/>
                <w:szCs w:val="20"/>
              </w:rPr>
              <w:t xml:space="preserve">found that the quality of the reporting spreadsheets and associated quality </w:t>
            </w:r>
            <w:r w:rsidRPr="00386DEF">
              <w:rPr>
                <w:rFonts w:ascii="Arial" w:hAnsi="Arial" w:cs="Arial"/>
                <w:sz w:val="20"/>
                <w:szCs w:val="20"/>
              </w:rPr>
              <w:t xml:space="preserve">control </w:t>
            </w:r>
            <w:r w:rsidR="00CA1154" w:rsidRPr="00386DEF">
              <w:rPr>
                <w:rFonts w:ascii="Arial" w:hAnsi="Arial" w:cs="Arial"/>
                <w:sz w:val="20"/>
                <w:szCs w:val="20"/>
              </w:rPr>
              <w:t>has deteriorated.</w:t>
            </w:r>
          </w:p>
        </w:tc>
        <w:tc>
          <w:tcPr>
            <w:tcW w:w="3006" w:type="dxa"/>
          </w:tcPr>
          <w:p w:rsidR="00CA1154" w:rsidRPr="00386DEF" w:rsidRDefault="00CA1154" w:rsidP="00CA1154">
            <w:pPr>
              <w:rPr>
                <w:rFonts w:ascii="Arial" w:hAnsi="Arial" w:cs="Arial"/>
                <w:bCs/>
                <w:sz w:val="20"/>
                <w:szCs w:val="20"/>
              </w:rPr>
            </w:pPr>
          </w:p>
          <w:p w:rsidR="00CA1154" w:rsidRPr="00386DEF" w:rsidRDefault="00CA1154" w:rsidP="00CA1154">
            <w:pPr>
              <w:rPr>
                <w:rFonts w:ascii="Arial" w:hAnsi="Arial" w:cs="Arial"/>
                <w:bCs/>
                <w:sz w:val="20"/>
                <w:szCs w:val="20"/>
              </w:rPr>
            </w:pPr>
          </w:p>
          <w:p w:rsidR="00CA1154" w:rsidRPr="00386DEF" w:rsidRDefault="00CA1154" w:rsidP="00CA1154">
            <w:pPr>
              <w:rPr>
                <w:rFonts w:ascii="Arial" w:hAnsi="Arial" w:cs="Arial"/>
                <w:bCs/>
                <w:sz w:val="20"/>
                <w:szCs w:val="20"/>
              </w:rPr>
            </w:pPr>
          </w:p>
          <w:p w:rsidR="00CA1154" w:rsidRPr="00386DEF" w:rsidRDefault="00CA1154" w:rsidP="00CA1154">
            <w:pPr>
              <w:rPr>
                <w:rFonts w:ascii="Arial" w:hAnsi="Arial" w:cs="Arial"/>
                <w:bCs/>
                <w:sz w:val="20"/>
                <w:szCs w:val="20"/>
              </w:rPr>
            </w:pPr>
          </w:p>
          <w:p w:rsidR="00CA1154" w:rsidRPr="00386DEF" w:rsidRDefault="00CA1154" w:rsidP="00CA1154">
            <w:pPr>
              <w:rPr>
                <w:rFonts w:ascii="Arial" w:hAnsi="Arial" w:cs="Arial"/>
                <w:bCs/>
                <w:sz w:val="20"/>
                <w:szCs w:val="20"/>
              </w:rPr>
            </w:pPr>
          </w:p>
          <w:p w:rsidR="00CA1154" w:rsidRPr="00386DEF" w:rsidRDefault="00CA1154" w:rsidP="00CA1154">
            <w:pPr>
              <w:rPr>
                <w:rFonts w:ascii="Arial" w:hAnsi="Arial" w:cs="Arial"/>
                <w:bCs/>
                <w:sz w:val="20"/>
                <w:szCs w:val="20"/>
              </w:rPr>
            </w:pPr>
            <w:r w:rsidRPr="00386DEF">
              <w:rPr>
                <w:rFonts w:ascii="Arial" w:hAnsi="Arial" w:cs="Arial"/>
                <w:sz w:val="20"/>
                <w:szCs w:val="20"/>
              </w:rPr>
              <w:t>There may be GSS failures that are not being recorded or paid.  The Company is reviewing this process.</w:t>
            </w:r>
          </w:p>
          <w:p w:rsidR="00CA1154" w:rsidRPr="00386DEF" w:rsidRDefault="00CA1154" w:rsidP="00CA1154">
            <w:pPr>
              <w:rPr>
                <w:rFonts w:ascii="Arial" w:hAnsi="Arial" w:cs="Arial"/>
                <w:bCs/>
                <w:sz w:val="20"/>
                <w:szCs w:val="20"/>
              </w:rPr>
            </w:pPr>
          </w:p>
          <w:p w:rsidR="00CA1154" w:rsidRPr="00386DEF" w:rsidRDefault="00CA1154" w:rsidP="00CA1154">
            <w:pPr>
              <w:rPr>
                <w:rFonts w:ascii="Arial" w:hAnsi="Arial" w:cs="Arial"/>
                <w:bCs/>
                <w:sz w:val="20"/>
                <w:szCs w:val="20"/>
              </w:rPr>
            </w:pPr>
          </w:p>
          <w:p w:rsidR="00CA1154" w:rsidRPr="00386DEF" w:rsidRDefault="00CA1154" w:rsidP="00CA1154">
            <w:pPr>
              <w:rPr>
                <w:rFonts w:ascii="Arial" w:hAnsi="Arial" w:cs="Arial"/>
                <w:bCs/>
                <w:sz w:val="20"/>
                <w:szCs w:val="20"/>
              </w:rPr>
            </w:pPr>
          </w:p>
          <w:p w:rsidR="00CA1154" w:rsidRPr="00386DEF" w:rsidRDefault="00450894" w:rsidP="00450894">
            <w:pPr>
              <w:spacing w:after="120"/>
              <w:rPr>
                <w:rFonts w:ascii="Arial" w:hAnsi="Arial" w:cs="Arial"/>
                <w:bCs/>
                <w:sz w:val="20"/>
                <w:szCs w:val="20"/>
              </w:rPr>
            </w:pPr>
            <w:r w:rsidRPr="00386DEF">
              <w:rPr>
                <w:rFonts w:ascii="Arial" w:hAnsi="Arial" w:cs="Arial"/>
                <w:sz w:val="20"/>
                <w:szCs w:val="20"/>
              </w:rPr>
              <w:t>We have instigated internal controls and processes aime</w:t>
            </w:r>
            <w:r w:rsidR="00386DEF">
              <w:rPr>
                <w:rFonts w:ascii="Arial" w:hAnsi="Arial" w:cs="Arial"/>
                <w:sz w:val="20"/>
                <w:szCs w:val="20"/>
              </w:rPr>
              <w:t>d at improving this data qualit</w:t>
            </w:r>
            <w:r w:rsidR="00AE12F8">
              <w:rPr>
                <w:rFonts w:ascii="Arial" w:hAnsi="Arial" w:cs="Arial"/>
                <w:sz w:val="20"/>
                <w:szCs w:val="20"/>
              </w:rPr>
              <w:t>y</w:t>
            </w:r>
          </w:p>
        </w:tc>
      </w:tr>
    </w:tbl>
    <w:p w:rsidR="00475843" w:rsidRPr="00475843" w:rsidRDefault="00475843" w:rsidP="00AE12F8">
      <w:pPr>
        <w:spacing w:after="0" w:line="240" w:lineRule="auto"/>
        <w:rPr>
          <w:rFonts w:ascii="Arial" w:hAnsi="Arial" w:cs="Arial"/>
          <w:bCs/>
        </w:rPr>
      </w:pPr>
    </w:p>
    <w:sectPr w:rsidR="00475843" w:rsidRPr="00475843" w:rsidSect="00855EC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41F" w:rsidRDefault="00A4741F" w:rsidP="00736200">
      <w:pPr>
        <w:spacing w:after="0" w:line="240" w:lineRule="auto"/>
      </w:pPr>
      <w:r>
        <w:separator/>
      </w:r>
    </w:p>
  </w:endnote>
  <w:endnote w:type="continuationSeparator" w:id="0">
    <w:p w:rsidR="00A4741F" w:rsidRDefault="00A4741F" w:rsidP="0073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8F" w:rsidRDefault="00F76F8F" w:rsidP="00736200">
    <w:pPr>
      <w:pStyle w:val="Footer"/>
      <w:pBdr>
        <w:top w:val="single" w:sz="4" w:space="1" w:color="auto"/>
      </w:pBdr>
      <w:rPr>
        <w:rFonts w:ascii="Arial" w:hAnsi="Arial" w:cs="Arial"/>
        <w:sz w:val="20"/>
        <w:szCs w:val="20"/>
      </w:rPr>
    </w:pPr>
  </w:p>
  <w:p w:rsidR="00F76F8F" w:rsidRPr="00B73835" w:rsidRDefault="00F76F8F" w:rsidP="00736200">
    <w:pPr>
      <w:pStyle w:val="Footer"/>
      <w:pBdr>
        <w:top w:val="single" w:sz="4" w:space="1" w:color="auto"/>
      </w:pBdr>
      <w:rPr>
        <w:rFonts w:ascii="Arial" w:hAnsi="Arial" w:cs="Arial"/>
        <w:sz w:val="20"/>
        <w:szCs w:val="20"/>
      </w:rPr>
    </w:pPr>
    <w:r w:rsidRPr="00B73835">
      <w:rPr>
        <w:rFonts w:ascii="Arial" w:hAnsi="Arial" w:cs="Arial"/>
        <w:sz w:val="20"/>
        <w:szCs w:val="20"/>
      </w:rPr>
      <w:t>Portsmouth Water</w:t>
    </w:r>
    <w:r w:rsidRPr="00B73835">
      <w:rPr>
        <w:rFonts w:ascii="Arial" w:hAnsi="Arial" w:cs="Arial"/>
        <w:sz w:val="20"/>
        <w:szCs w:val="20"/>
      </w:rPr>
      <w:tab/>
      <w:t>1</w:t>
    </w:r>
    <w:r>
      <w:rPr>
        <w:rFonts w:ascii="Arial" w:hAnsi="Arial" w:cs="Arial"/>
        <w:sz w:val="20"/>
        <w:szCs w:val="20"/>
      </w:rPr>
      <w:t>2</w:t>
    </w:r>
    <w:r w:rsidRPr="00B73835">
      <w:rPr>
        <w:rFonts w:ascii="Arial" w:hAnsi="Arial" w:cs="Arial"/>
        <w:sz w:val="20"/>
        <w:szCs w:val="20"/>
      </w:rPr>
      <w:t xml:space="preserve"> </w:t>
    </w:r>
    <w:r>
      <w:rPr>
        <w:rFonts w:ascii="Arial" w:hAnsi="Arial" w:cs="Arial"/>
        <w:sz w:val="20"/>
        <w:szCs w:val="20"/>
      </w:rPr>
      <w:t>July 2018</w:t>
    </w:r>
    <w:r w:rsidRPr="00B73835">
      <w:rPr>
        <w:rFonts w:ascii="Arial" w:hAnsi="Arial" w:cs="Arial"/>
        <w:sz w:val="20"/>
        <w:szCs w:val="20"/>
      </w:rPr>
      <w:tab/>
    </w:r>
    <w:sdt>
      <w:sdtPr>
        <w:rPr>
          <w:rFonts w:ascii="Arial" w:hAnsi="Arial" w:cs="Arial"/>
          <w:sz w:val="20"/>
          <w:szCs w:val="20"/>
        </w:rPr>
        <w:id w:val="1321547930"/>
        <w:docPartObj>
          <w:docPartGallery w:val="Page Numbers (Bottom of Page)"/>
          <w:docPartUnique/>
        </w:docPartObj>
      </w:sdtPr>
      <w:sdtEndPr>
        <w:rPr>
          <w:noProof/>
        </w:rPr>
      </w:sdtEndPr>
      <w:sdtContent>
        <w:r w:rsidRPr="00B73835">
          <w:rPr>
            <w:rFonts w:ascii="Arial" w:hAnsi="Arial" w:cs="Arial"/>
            <w:sz w:val="20"/>
            <w:szCs w:val="20"/>
          </w:rPr>
          <w:fldChar w:fldCharType="begin"/>
        </w:r>
        <w:r w:rsidRPr="00B73835">
          <w:rPr>
            <w:rFonts w:ascii="Arial" w:hAnsi="Arial" w:cs="Arial"/>
            <w:sz w:val="20"/>
            <w:szCs w:val="20"/>
          </w:rPr>
          <w:instrText xml:space="preserve"> PAGE   \* MERGEFORMAT </w:instrText>
        </w:r>
        <w:r w:rsidRPr="00B73835">
          <w:rPr>
            <w:rFonts w:ascii="Arial" w:hAnsi="Arial" w:cs="Arial"/>
            <w:sz w:val="20"/>
            <w:szCs w:val="20"/>
          </w:rPr>
          <w:fldChar w:fldCharType="separate"/>
        </w:r>
        <w:r w:rsidR="008F3713">
          <w:rPr>
            <w:rFonts w:ascii="Arial" w:hAnsi="Arial" w:cs="Arial"/>
            <w:noProof/>
            <w:sz w:val="20"/>
            <w:szCs w:val="20"/>
          </w:rPr>
          <w:t>2</w:t>
        </w:r>
        <w:r w:rsidRPr="00B73835">
          <w:rPr>
            <w:rFonts w:ascii="Arial" w:hAnsi="Arial" w:cs="Arial"/>
            <w:noProof/>
            <w:sz w:val="20"/>
            <w:szCs w:val="20"/>
          </w:rPr>
          <w:fldChar w:fldCharType="end"/>
        </w:r>
      </w:sdtContent>
    </w:sdt>
  </w:p>
  <w:p w:rsidR="00F76F8F" w:rsidRDefault="00F76F8F">
    <w:pPr>
      <w:pStyle w:val="Footer"/>
    </w:pPr>
  </w:p>
  <w:p w:rsidR="00F76F8F" w:rsidRDefault="00F76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41F" w:rsidRDefault="00A4741F" w:rsidP="00736200">
      <w:pPr>
        <w:spacing w:after="0" w:line="240" w:lineRule="auto"/>
      </w:pPr>
      <w:r>
        <w:separator/>
      </w:r>
    </w:p>
  </w:footnote>
  <w:footnote w:type="continuationSeparator" w:id="0">
    <w:p w:rsidR="00A4741F" w:rsidRDefault="00A4741F" w:rsidP="007362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D20E7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E41D08"/>
    <w:multiLevelType w:val="hybridMultilevel"/>
    <w:tmpl w:val="F2009F5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21295581"/>
    <w:multiLevelType w:val="hybridMultilevel"/>
    <w:tmpl w:val="E240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293E65"/>
    <w:multiLevelType w:val="hybridMultilevel"/>
    <w:tmpl w:val="D6EA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46E6E"/>
    <w:multiLevelType w:val="hybridMultilevel"/>
    <w:tmpl w:val="A272874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60450072"/>
    <w:multiLevelType w:val="hybridMultilevel"/>
    <w:tmpl w:val="6AD0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0602F2"/>
    <w:multiLevelType w:val="hybridMultilevel"/>
    <w:tmpl w:val="56AC9946"/>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76AC7D5D"/>
    <w:multiLevelType w:val="hybridMultilevel"/>
    <w:tmpl w:val="71B46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7E"/>
    <w:rsid w:val="000266E3"/>
    <w:rsid w:val="00050453"/>
    <w:rsid w:val="00054166"/>
    <w:rsid w:val="00054BF4"/>
    <w:rsid w:val="000738B8"/>
    <w:rsid w:val="000756A3"/>
    <w:rsid w:val="000900D6"/>
    <w:rsid w:val="000D2AE9"/>
    <w:rsid w:val="000E7F43"/>
    <w:rsid w:val="00115AC7"/>
    <w:rsid w:val="001412A9"/>
    <w:rsid w:val="00143760"/>
    <w:rsid w:val="0016027D"/>
    <w:rsid w:val="00195606"/>
    <w:rsid w:val="001D6ACB"/>
    <w:rsid w:val="001E7D22"/>
    <w:rsid w:val="001F09CF"/>
    <w:rsid w:val="00227F03"/>
    <w:rsid w:val="002829AA"/>
    <w:rsid w:val="0029073D"/>
    <w:rsid w:val="0029312A"/>
    <w:rsid w:val="00293521"/>
    <w:rsid w:val="002F0B27"/>
    <w:rsid w:val="00304F86"/>
    <w:rsid w:val="003239AA"/>
    <w:rsid w:val="00336529"/>
    <w:rsid w:val="00347B88"/>
    <w:rsid w:val="0037268B"/>
    <w:rsid w:val="00386DEF"/>
    <w:rsid w:val="003A187A"/>
    <w:rsid w:val="003A46F9"/>
    <w:rsid w:val="003E1EE1"/>
    <w:rsid w:val="003E777E"/>
    <w:rsid w:val="003F68A2"/>
    <w:rsid w:val="004050C0"/>
    <w:rsid w:val="00450894"/>
    <w:rsid w:val="00475843"/>
    <w:rsid w:val="00476849"/>
    <w:rsid w:val="00495576"/>
    <w:rsid w:val="004C59A5"/>
    <w:rsid w:val="004E50CA"/>
    <w:rsid w:val="0051284A"/>
    <w:rsid w:val="00520B21"/>
    <w:rsid w:val="00533F28"/>
    <w:rsid w:val="005505DD"/>
    <w:rsid w:val="00554266"/>
    <w:rsid w:val="005C09DA"/>
    <w:rsid w:val="005E1507"/>
    <w:rsid w:val="00610517"/>
    <w:rsid w:val="00611060"/>
    <w:rsid w:val="00646F55"/>
    <w:rsid w:val="006643E2"/>
    <w:rsid w:val="006748D4"/>
    <w:rsid w:val="00675963"/>
    <w:rsid w:val="006943CE"/>
    <w:rsid w:val="006C4BF2"/>
    <w:rsid w:val="006C6810"/>
    <w:rsid w:val="00715BC3"/>
    <w:rsid w:val="00723A6B"/>
    <w:rsid w:val="00736200"/>
    <w:rsid w:val="007771DD"/>
    <w:rsid w:val="00806FA1"/>
    <w:rsid w:val="00810356"/>
    <w:rsid w:val="008113EB"/>
    <w:rsid w:val="0081356E"/>
    <w:rsid w:val="008213B3"/>
    <w:rsid w:val="00855EC4"/>
    <w:rsid w:val="0086417B"/>
    <w:rsid w:val="0089230B"/>
    <w:rsid w:val="008D6B12"/>
    <w:rsid w:val="008E1CCC"/>
    <w:rsid w:val="008F3713"/>
    <w:rsid w:val="00914A98"/>
    <w:rsid w:val="0094704C"/>
    <w:rsid w:val="009914AA"/>
    <w:rsid w:val="009B74E9"/>
    <w:rsid w:val="009B7A56"/>
    <w:rsid w:val="009D0B9A"/>
    <w:rsid w:val="009D298A"/>
    <w:rsid w:val="00A02D60"/>
    <w:rsid w:val="00A33B94"/>
    <w:rsid w:val="00A4741F"/>
    <w:rsid w:val="00A47468"/>
    <w:rsid w:val="00A64097"/>
    <w:rsid w:val="00A71052"/>
    <w:rsid w:val="00A91993"/>
    <w:rsid w:val="00AA4D92"/>
    <w:rsid w:val="00AE0380"/>
    <w:rsid w:val="00AE12F8"/>
    <w:rsid w:val="00B00974"/>
    <w:rsid w:val="00B0167A"/>
    <w:rsid w:val="00B30638"/>
    <w:rsid w:val="00B43048"/>
    <w:rsid w:val="00B6771B"/>
    <w:rsid w:val="00B809E5"/>
    <w:rsid w:val="00BA0770"/>
    <w:rsid w:val="00BA196D"/>
    <w:rsid w:val="00BB01F9"/>
    <w:rsid w:val="00BD2BA8"/>
    <w:rsid w:val="00C52E2D"/>
    <w:rsid w:val="00C6115D"/>
    <w:rsid w:val="00C817B3"/>
    <w:rsid w:val="00CA1154"/>
    <w:rsid w:val="00CB10A4"/>
    <w:rsid w:val="00CD1256"/>
    <w:rsid w:val="00CF447B"/>
    <w:rsid w:val="00CF5039"/>
    <w:rsid w:val="00D2277E"/>
    <w:rsid w:val="00D23300"/>
    <w:rsid w:val="00D23C71"/>
    <w:rsid w:val="00D7469B"/>
    <w:rsid w:val="00D810E2"/>
    <w:rsid w:val="00DA2181"/>
    <w:rsid w:val="00DE0F77"/>
    <w:rsid w:val="00DF468F"/>
    <w:rsid w:val="00E0041B"/>
    <w:rsid w:val="00E64857"/>
    <w:rsid w:val="00E75CFF"/>
    <w:rsid w:val="00EB6CA3"/>
    <w:rsid w:val="00ED4821"/>
    <w:rsid w:val="00F1740B"/>
    <w:rsid w:val="00F23ED3"/>
    <w:rsid w:val="00F70828"/>
    <w:rsid w:val="00F76F8F"/>
    <w:rsid w:val="00F8595F"/>
    <w:rsid w:val="00FB313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B3979-7AD8-492A-9671-B4A2DCA4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777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E777E"/>
    <w:pPr>
      <w:ind w:left="720"/>
      <w:contextualSpacing/>
    </w:pPr>
  </w:style>
  <w:style w:type="paragraph" w:styleId="BalloonText">
    <w:name w:val="Balloon Text"/>
    <w:basedOn w:val="Normal"/>
    <w:link w:val="BalloonTextChar"/>
    <w:uiPriority w:val="99"/>
    <w:semiHidden/>
    <w:unhideWhenUsed/>
    <w:rsid w:val="00736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200"/>
    <w:rPr>
      <w:rFonts w:ascii="Segoe UI" w:hAnsi="Segoe UI" w:cs="Segoe UI"/>
      <w:sz w:val="18"/>
      <w:szCs w:val="18"/>
    </w:rPr>
  </w:style>
  <w:style w:type="paragraph" w:styleId="Header">
    <w:name w:val="header"/>
    <w:basedOn w:val="Normal"/>
    <w:link w:val="HeaderChar"/>
    <w:uiPriority w:val="99"/>
    <w:unhideWhenUsed/>
    <w:rsid w:val="00736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200"/>
  </w:style>
  <w:style w:type="paragraph" w:styleId="Footer">
    <w:name w:val="footer"/>
    <w:basedOn w:val="Normal"/>
    <w:link w:val="FooterChar"/>
    <w:uiPriority w:val="99"/>
    <w:unhideWhenUsed/>
    <w:rsid w:val="00736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200"/>
  </w:style>
  <w:style w:type="paragraph" w:customStyle="1" w:styleId="ListBulletLast">
    <w:name w:val="List Bullet Last"/>
    <w:basedOn w:val="ListBullet"/>
    <w:next w:val="Normal"/>
    <w:uiPriority w:val="2"/>
    <w:qFormat/>
    <w:rsid w:val="00BB01F9"/>
    <w:pPr>
      <w:spacing w:after="240"/>
    </w:pPr>
  </w:style>
  <w:style w:type="paragraph" w:styleId="ListBullet">
    <w:name w:val="List Bullet"/>
    <w:basedOn w:val="Normal"/>
    <w:uiPriority w:val="2"/>
    <w:rsid w:val="00BB01F9"/>
    <w:pPr>
      <w:numPr>
        <w:numId w:val="7"/>
      </w:numPr>
      <w:spacing w:after="0" w:line="240" w:lineRule="auto"/>
    </w:pPr>
    <w:rPr>
      <w:rFonts w:ascii="Arial" w:hAnsi="Arial"/>
      <w:color w:val="44546A" w:themeColor="text2"/>
      <w:sz w:val="20"/>
    </w:rPr>
  </w:style>
  <w:style w:type="table" w:styleId="TableGrid">
    <w:name w:val="Table Grid"/>
    <w:basedOn w:val="TableNormal"/>
    <w:uiPriority w:val="39"/>
    <w:rsid w:val="00723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tiff"/><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tif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F8B465-FE16-4E77-ABE4-93D9F9C89058}"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ABDEAED7-BFD0-47BC-AB0C-7CF1113AA36F}">
      <dgm:prSet phldrT="[Text]"/>
      <dgm:spPr/>
      <dgm:t>
        <a:bodyPr/>
        <a:lstStyle/>
        <a:p>
          <a:r>
            <a:rPr lang="en-GB"/>
            <a:t>Identify the relevant data</a:t>
          </a:r>
        </a:p>
      </dgm:t>
    </dgm:pt>
    <dgm:pt modelId="{62EEA2F6-2334-45BD-9F5C-2E6478A436BE}" type="parTrans" cxnId="{E429C7C8-7C23-4BB0-BCAD-75E3E1334FAB}">
      <dgm:prSet/>
      <dgm:spPr/>
      <dgm:t>
        <a:bodyPr/>
        <a:lstStyle/>
        <a:p>
          <a:endParaRPr lang="en-GB"/>
        </a:p>
      </dgm:t>
    </dgm:pt>
    <dgm:pt modelId="{8D28FE54-57BD-4D67-9523-CDB08FA8C67A}" type="sibTrans" cxnId="{E429C7C8-7C23-4BB0-BCAD-75E3E1334FAB}">
      <dgm:prSet/>
      <dgm:spPr/>
      <dgm:t>
        <a:bodyPr/>
        <a:lstStyle/>
        <a:p>
          <a:endParaRPr lang="en-GB"/>
        </a:p>
      </dgm:t>
    </dgm:pt>
    <dgm:pt modelId="{2D0AEDD9-1BD2-42E0-A5F7-E10E1300E083}">
      <dgm:prSet phldrT="[Text]" custT="1"/>
      <dgm:spPr/>
      <dgm:t>
        <a:bodyPr/>
        <a:lstStyle/>
        <a:p>
          <a:r>
            <a:rPr lang="en-GB" sz="900"/>
            <a:t>Consultation with our stakeholders is an important part of this process.</a:t>
          </a:r>
        </a:p>
      </dgm:t>
    </dgm:pt>
    <dgm:pt modelId="{05ABB2D9-92A7-4394-A8AC-B6E64ECAB14D}" type="parTrans" cxnId="{8BE8AE45-9926-4B1B-B0D5-8FD2D3EA7979}">
      <dgm:prSet/>
      <dgm:spPr/>
      <dgm:t>
        <a:bodyPr/>
        <a:lstStyle/>
        <a:p>
          <a:endParaRPr lang="en-GB"/>
        </a:p>
      </dgm:t>
    </dgm:pt>
    <dgm:pt modelId="{0B27828B-BACA-4145-97B1-5C38EFB6FDE7}" type="sibTrans" cxnId="{8BE8AE45-9926-4B1B-B0D5-8FD2D3EA7979}">
      <dgm:prSet/>
      <dgm:spPr/>
      <dgm:t>
        <a:bodyPr/>
        <a:lstStyle/>
        <a:p>
          <a:endParaRPr lang="en-GB"/>
        </a:p>
      </dgm:t>
    </dgm:pt>
    <dgm:pt modelId="{329CDAD2-DA4A-44F7-AA60-0FA428F43642}">
      <dgm:prSet phldrT="[Text]"/>
      <dgm:spPr/>
      <dgm:t>
        <a:bodyPr/>
        <a:lstStyle/>
        <a:p>
          <a:r>
            <a:rPr lang="en-GB"/>
            <a:t>Risk Assessment</a:t>
          </a:r>
        </a:p>
      </dgm:t>
    </dgm:pt>
    <dgm:pt modelId="{15E41AF7-A63C-4524-A142-9E66F08AC9E7}" type="parTrans" cxnId="{2E837D8E-98E2-4098-A472-87C6B9006DF3}">
      <dgm:prSet/>
      <dgm:spPr/>
      <dgm:t>
        <a:bodyPr/>
        <a:lstStyle/>
        <a:p>
          <a:endParaRPr lang="en-GB"/>
        </a:p>
      </dgm:t>
    </dgm:pt>
    <dgm:pt modelId="{D444D3B5-3E9F-414B-BF64-058D129BABEF}" type="sibTrans" cxnId="{2E837D8E-98E2-4098-A472-87C6B9006DF3}">
      <dgm:prSet/>
      <dgm:spPr/>
      <dgm:t>
        <a:bodyPr/>
        <a:lstStyle/>
        <a:p>
          <a:endParaRPr lang="en-GB"/>
        </a:p>
      </dgm:t>
    </dgm:pt>
    <dgm:pt modelId="{EBCB8B05-B8F7-47C0-804A-64FE78D809D5}">
      <dgm:prSet phldrT="[Text]" custT="1"/>
      <dgm:spPr/>
      <dgm:t>
        <a:bodyPr/>
        <a:lstStyle/>
        <a:p>
          <a:r>
            <a:rPr lang="en-GB" sz="900"/>
            <a:t>Assess the risk that the data we report contains errors or is materially misstated.</a:t>
          </a:r>
        </a:p>
      </dgm:t>
    </dgm:pt>
    <dgm:pt modelId="{4D5B02F1-B32C-43F0-A2B7-971127EB9243}" type="parTrans" cxnId="{10A1CF6D-5FB6-44FF-9FF0-142CFBF6B816}">
      <dgm:prSet/>
      <dgm:spPr/>
      <dgm:t>
        <a:bodyPr/>
        <a:lstStyle/>
        <a:p>
          <a:endParaRPr lang="en-GB"/>
        </a:p>
      </dgm:t>
    </dgm:pt>
    <dgm:pt modelId="{0223D27C-22F9-48C8-B823-19968CF285E7}" type="sibTrans" cxnId="{10A1CF6D-5FB6-44FF-9FF0-142CFBF6B816}">
      <dgm:prSet/>
      <dgm:spPr/>
      <dgm:t>
        <a:bodyPr/>
        <a:lstStyle/>
        <a:p>
          <a:endParaRPr lang="en-GB"/>
        </a:p>
      </dgm:t>
    </dgm:pt>
    <dgm:pt modelId="{39D9A012-59D0-4933-A1BC-82A66B3233E6}">
      <dgm:prSet phldrT="[Text]"/>
      <dgm:spPr/>
      <dgm:t>
        <a:bodyPr/>
        <a:lstStyle/>
        <a:p>
          <a:r>
            <a:rPr lang="en-GB"/>
            <a:t>Design Assurance Plan</a:t>
          </a:r>
        </a:p>
      </dgm:t>
    </dgm:pt>
    <dgm:pt modelId="{0DCFC0D4-172D-4D72-84FE-CBFAA7916588}" type="parTrans" cxnId="{930611DE-E4DA-4758-89FF-D19FFF7DB5CD}">
      <dgm:prSet/>
      <dgm:spPr/>
      <dgm:t>
        <a:bodyPr/>
        <a:lstStyle/>
        <a:p>
          <a:endParaRPr lang="en-GB"/>
        </a:p>
      </dgm:t>
    </dgm:pt>
    <dgm:pt modelId="{C4997DFD-E66D-47DD-93E2-2126289C6743}" type="sibTrans" cxnId="{930611DE-E4DA-4758-89FF-D19FFF7DB5CD}">
      <dgm:prSet/>
      <dgm:spPr/>
      <dgm:t>
        <a:bodyPr/>
        <a:lstStyle/>
        <a:p>
          <a:endParaRPr lang="en-GB"/>
        </a:p>
      </dgm:t>
    </dgm:pt>
    <dgm:pt modelId="{30199DA5-98D2-412C-97C7-1A8097A648C5}">
      <dgm:prSet phldrT="[Text]" custT="1"/>
      <dgm:spPr/>
      <dgm:t>
        <a:bodyPr/>
        <a:lstStyle/>
        <a:p>
          <a:r>
            <a:rPr lang="en-GB" sz="900"/>
            <a:t>Design appropriate assurance processes to mitigate the risk of material misstatement</a:t>
          </a:r>
          <a:r>
            <a:rPr lang="en-GB" sz="1200"/>
            <a:t>.</a:t>
          </a:r>
        </a:p>
      </dgm:t>
    </dgm:pt>
    <dgm:pt modelId="{47B9539D-085C-44CC-A5DA-B68B5825DBD7}" type="parTrans" cxnId="{1FB4C83B-3558-40DD-B208-A50297C57002}">
      <dgm:prSet/>
      <dgm:spPr/>
      <dgm:t>
        <a:bodyPr/>
        <a:lstStyle/>
        <a:p>
          <a:endParaRPr lang="en-GB"/>
        </a:p>
      </dgm:t>
    </dgm:pt>
    <dgm:pt modelId="{962ABD9A-0569-4B3A-AA7B-53FC914DA4B5}" type="sibTrans" cxnId="{1FB4C83B-3558-40DD-B208-A50297C57002}">
      <dgm:prSet/>
      <dgm:spPr/>
      <dgm:t>
        <a:bodyPr/>
        <a:lstStyle/>
        <a:p>
          <a:endParaRPr lang="en-GB"/>
        </a:p>
      </dgm:t>
    </dgm:pt>
    <dgm:pt modelId="{EC873CF2-CF40-429D-BCDC-6C5E55B932CF}" type="pres">
      <dgm:prSet presAssocID="{9FF8B465-FE16-4E77-ABE4-93D9F9C89058}" presName="Name0" presStyleCnt="0">
        <dgm:presLayoutVars>
          <dgm:dir/>
          <dgm:animLvl val="lvl"/>
          <dgm:resizeHandles val="exact"/>
        </dgm:presLayoutVars>
      </dgm:prSet>
      <dgm:spPr/>
      <dgm:t>
        <a:bodyPr/>
        <a:lstStyle/>
        <a:p>
          <a:endParaRPr lang="en-GB"/>
        </a:p>
      </dgm:t>
    </dgm:pt>
    <dgm:pt modelId="{90EDB3E1-58FC-4B1E-B5C5-58F66DE7F49C}" type="pres">
      <dgm:prSet presAssocID="{39D9A012-59D0-4933-A1BC-82A66B3233E6}" presName="boxAndChildren" presStyleCnt="0"/>
      <dgm:spPr/>
    </dgm:pt>
    <dgm:pt modelId="{0D4350FD-496D-480B-BE53-1AAD7BC4FFF9}" type="pres">
      <dgm:prSet presAssocID="{39D9A012-59D0-4933-A1BC-82A66B3233E6}" presName="parentTextBox" presStyleLbl="node1" presStyleIdx="0" presStyleCnt="3"/>
      <dgm:spPr/>
      <dgm:t>
        <a:bodyPr/>
        <a:lstStyle/>
        <a:p>
          <a:endParaRPr lang="en-GB"/>
        </a:p>
      </dgm:t>
    </dgm:pt>
    <dgm:pt modelId="{CE85D719-9A65-4635-850F-FBE7DA7748AF}" type="pres">
      <dgm:prSet presAssocID="{39D9A012-59D0-4933-A1BC-82A66B3233E6}" presName="entireBox" presStyleLbl="node1" presStyleIdx="0" presStyleCnt="3"/>
      <dgm:spPr/>
      <dgm:t>
        <a:bodyPr/>
        <a:lstStyle/>
        <a:p>
          <a:endParaRPr lang="en-GB"/>
        </a:p>
      </dgm:t>
    </dgm:pt>
    <dgm:pt modelId="{3B506954-7696-474E-976A-FF0956D47A78}" type="pres">
      <dgm:prSet presAssocID="{39D9A012-59D0-4933-A1BC-82A66B3233E6}" presName="descendantBox" presStyleCnt="0"/>
      <dgm:spPr/>
    </dgm:pt>
    <dgm:pt modelId="{316BA0C1-A2F3-4642-AA52-0442BDB21A7C}" type="pres">
      <dgm:prSet presAssocID="{30199DA5-98D2-412C-97C7-1A8097A648C5}" presName="childTextBox" presStyleLbl="fgAccFollowNode1" presStyleIdx="0" presStyleCnt="3">
        <dgm:presLayoutVars>
          <dgm:bulletEnabled val="1"/>
        </dgm:presLayoutVars>
      </dgm:prSet>
      <dgm:spPr/>
      <dgm:t>
        <a:bodyPr/>
        <a:lstStyle/>
        <a:p>
          <a:endParaRPr lang="en-GB"/>
        </a:p>
      </dgm:t>
    </dgm:pt>
    <dgm:pt modelId="{1B6FA14A-2154-4B66-AF67-F8FBD78C0142}" type="pres">
      <dgm:prSet presAssocID="{D444D3B5-3E9F-414B-BF64-058D129BABEF}" presName="sp" presStyleCnt="0"/>
      <dgm:spPr/>
    </dgm:pt>
    <dgm:pt modelId="{4AE7534D-539A-4173-86A2-8744F1309EC5}" type="pres">
      <dgm:prSet presAssocID="{329CDAD2-DA4A-44F7-AA60-0FA428F43642}" presName="arrowAndChildren" presStyleCnt="0"/>
      <dgm:spPr/>
    </dgm:pt>
    <dgm:pt modelId="{B93500F5-94B4-4B22-88D1-67836200DFD3}" type="pres">
      <dgm:prSet presAssocID="{329CDAD2-DA4A-44F7-AA60-0FA428F43642}" presName="parentTextArrow" presStyleLbl="node1" presStyleIdx="0" presStyleCnt="3"/>
      <dgm:spPr/>
      <dgm:t>
        <a:bodyPr/>
        <a:lstStyle/>
        <a:p>
          <a:endParaRPr lang="en-GB"/>
        </a:p>
      </dgm:t>
    </dgm:pt>
    <dgm:pt modelId="{77976B34-32E0-4339-AC2F-ACF5C3477DE2}" type="pres">
      <dgm:prSet presAssocID="{329CDAD2-DA4A-44F7-AA60-0FA428F43642}" presName="arrow" presStyleLbl="node1" presStyleIdx="1" presStyleCnt="3"/>
      <dgm:spPr/>
      <dgm:t>
        <a:bodyPr/>
        <a:lstStyle/>
        <a:p>
          <a:endParaRPr lang="en-GB"/>
        </a:p>
      </dgm:t>
    </dgm:pt>
    <dgm:pt modelId="{C50BC06F-D893-46B9-B3E3-AB6D0108075E}" type="pres">
      <dgm:prSet presAssocID="{329CDAD2-DA4A-44F7-AA60-0FA428F43642}" presName="descendantArrow" presStyleCnt="0"/>
      <dgm:spPr/>
    </dgm:pt>
    <dgm:pt modelId="{3F96E3A4-696F-4C07-A93B-BECEA6485EF9}" type="pres">
      <dgm:prSet presAssocID="{EBCB8B05-B8F7-47C0-804A-64FE78D809D5}" presName="childTextArrow" presStyleLbl="fgAccFollowNode1" presStyleIdx="1" presStyleCnt="3">
        <dgm:presLayoutVars>
          <dgm:bulletEnabled val="1"/>
        </dgm:presLayoutVars>
      </dgm:prSet>
      <dgm:spPr/>
      <dgm:t>
        <a:bodyPr/>
        <a:lstStyle/>
        <a:p>
          <a:endParaRPr lang="en-GB"/>
        </a:p>
      </dgm:t>
    </dgm:pt>
    <dgm:pt modelId="{C4ECBF56-113B-47F7-ACCC-521EFF221C72}" type="pres">
      <dgm:prSet presAssocID="{8D28FE54-57BD-4D67-9523-CDB08FA8C67A}" presName="sp" presStyleCnt="0"/>
      <dgm:spPr/>
    </dgm:pt>
    <dgm:pt modelId="{23312A1D-7619-4DC6-AC6A-EE00444D8302}" type="pres">
      <dgm:prSet presAssocID="{ABDEAED7-BFD0-47BC-AB0C-7CF1113AA36F}" presName="arrowAndChildren" presStyleCnt="0"/>
      <dgm:spPr/>
    </dgm:pt>
    <dgm:pt modelId="{CE66864F-C6ED-41D8-BA49-9062A2170B2E}" type="pres">
      <dgm:prSet presAssocID="{ABDEAED7-BFD0-47BC-AB0C-7CF1113AA36F}" presName="parentTextArrow" presStyleLbl="node1" presStyleIdx="1" presStyleCnt="3"/>
      <dgm:spPr/>
      <dgm:t>
        <a:bodyPr/>
        <a:lstStyle/>
        <a:p>
          <a:endParaRPr lang="en-GB"/>
        </a:p>
      </dgm:t>
    </dgm:pt>
    <dgm:pt modelId="{EEA99F35-0232-4D12-8220-CE5C79DBDB9A}" type="pres">
      <dgm:prSet presAssocID="{ABDEAED7-BFD0-47BC-AB0C-7CF1113AA36F}" presName="arrow" presStyleLbl="node1" presStyleIdx="2" presStyleCnt="3"/>
      <dgm:spPr/>
      <dgm:t>
        <a:bodyPr/>
        <a:lstStyle/>
        <a:p>
          <a:endParaRPr lang="en-GB"/>
        </a:p>
      </dgm:t>
    </dgm:pt>
    <dgm:pt modelId="{5C533511-B7A8-4548-8E56-86A4AB93D6B2}" type="pres">
      <dgm:prSet presAssocID="{ABDEAED7-BFD0-47BC-AB0C-7CF1113AA36F}" presName="descendantArrow" presStyleCnt="0"/>
      <dgm:spPr/>
    </dgm:pt>
    <dgm:pt modelId="{44A701E9-7CCE-4BA5-80C6-AA7F4F7AE514}" type="pres">
      <dgm:prSet presAssocID="{2D0AEDD9-1BD2-42E0-A5F7-E10E1300E083}" presName="childTextArrow" presStyleLbl="fgAccFollowNode1" presStyleIdx="2" presStyleCnt="3">
        <dgm:presLayoutVars>
          <dgm:bulletEnabled val="1"/>
        </dgm:presLayoutVars>
      </dgm:prSet>
      <dgm:spPr/>
      <dgm:t>
        <a:bodyPr/>
        <a:lstStyle/>
        <a:p>
          <a:endParaRPr lang="en-GB"/>
        </a:p>
      </dgm:t>
    </dgm:pt>
  </dgm:ptLst>
  <dgm:cxnLst>
    <dgm:cxn modelId="{92D2536B-B1B7-49F2-927B-4F91EB5A63A9}" type="presOf" srcId="{30199DA5-98D2-412C-97C7-1A8097A648C5}" destId="{316BA0C1-A2F3-4642-AA52-0442BDB21A7C}" srcOrd="0" destOrd="0" presId="urn:microsoft.com/office/officeart/2005/8/layout/process4"/>
    <dgm:cxn modelId="{1FB4C83B-3558-40DD-B208-A50297C57002}" srcId="{39D9A012-59D0-4933-A1BC-82A66B3233E6}" destId="{30199DA5-98D2-412C-97C7-1A8097A648C5}" srcOrd="0" destOrd="0" parTransId="{47B9539D-085C-44CC-A5DA-B68B5825DBD7}" sibTransId="{962ABD9A-0569-4B3A-AA7B-53FC914DA4B5}"/>
    <dgm:cxn modelId="{CBC37D41-F185-4DD2-B424-F71BFDBE652C}" type="presOf" srcId="{EBCB8B05-B8F7-47C0-804A-64FE78D809D5}" destId="{3F96E3A4-696F-4C07-A93B-BECEA6485EF9}" srcOrd="0" destOrd="0" presId="urn:microsoft.com/office/officeart/2005/8/layout/process4"/>
    <dgm:cxn modelId="{2E837D8E-98E2-4098-A472-87C6B9006DF3}" srcId="{9FF8B465-FE16-4E77-ABE4-93D9F9C89058}" destId="{329CDAD2-DA4A-44F7-AA60-0FA428F43642}" srcOrd="1" destOrd="0" parTransId="{15E41AF7-A63C-4524-A142-9E66F08AC9E7}" sibTransId="{D444D3B5-3E9F-414B-BF64-058D129BABEF}"/>
    <dgm:cxn modelId="{9876CAD0-5265-4332-AEC2-0F5E1C4928BE}" type="presOf" srcId="{ABDEAED7-BFD0-47BC-AB0C-7CF1113AA36F}" destId="{EEA99F35-0232-4D12-8220-CE5C79DBDB9A}" srcOrd="1" destOrd="0" presId="urn:microsoft.com/office/officeart/2005/8/layout/process4"/>
    <dgm:cxn modelId="{EACA5958-C2F4-43C5-A2CC-0D091918A833}" type="presOf" srcId="{39D9A012-59D0-4933-A1BC-82A66B3233E6}" destId="{CE85D719-9A65-4635-850F-FBE7DA7748AF}" srcOrd="1" destOrd="0" presId="urn:microsoft.com/office/officeart/2005/8/layout/process4"/>
    <dgm:cxn modelId="{59F26DE6-FB2D-41B4-8CAB-D34ADDB1A6AE}" type="presOf" srcId="{329CDAD2-DA4A-44F7-AA60-0FA428F43642}" destId="{B93500F5-94B4-4B22-88D1-67836200DFD3}" srcOrd="0" destOrd="0" presId="urn:microsoft.com/office/officeart/2005/8/layout/process4"/>
    <dgm:cxn modelId="{8BE8AE45-9926-4B1B-B0D5-8FD2D3EA7979}" srcId="{ABDEAED7-BFD0-47BC-AB0C-7CF1113AA36F}" destId="{2D0AEDD9-1BD2-42E0-A5F7-E10E1300E083}" srcOrd="0" destOrd="0" parTransId="{05ABB2D9-92A7-4394-A8AC-B6E64ECAB14D}" sibTransId="{0B27828B-BACA-4145-97B1-5C38EFB6FDE7}"/>
    <dgm:cxn modelId="{B1C34313-020A-4D42-B306-E10FAC0BCDD1}" type="presOf" srcId="{39D9A012-59D0-4933-A1BC-82A66B3233E6}" destId="{0D4350FD-496D-480B-BE53-1AAD7BC4FFF9}" srcOrd="0" destOrd="0" presId="urn:microsoft.com/office/officeart/2005/8/layout/process4"/>
    <dgm:cxn modelId="{930611DE-E4DA-4758-89FF-D19FFF7DB5CD}" srcId="{9FF8B465-FE16-4E77-ABE4-93D9F9C89058}" destId="{39D9A012-59D0-4933-A1BC-82A66B3233E6}" srcOrd="2" destOrd="0" parTransId="{0DCFC0D4-172D-4D72-84FE-CBFAA7916588}" sibTransId="{C4997DFD-E66D-47DD-93E2-2126289C6743}"/>
    <dgm:cxn modelId="{BCE24A08-D944-4369-9480-7937E3C0DA43}" type="presOf" srcId="{9FF8B465-FE16-4E77-ABE4-93D9F9C89058}" destId="{EC873CF2-CF40-429D-BCDC-6C5E55B932CF}" srcOrd="0" destOrd="0" presId="urn:microsoft.com/office/officeart/2005/8/layout/process4"/>
    <dgm:cxn modelId="{E429C7C8-7C23-4BB0-BCAD-75E3E1334FAB}" srcId="{9FF8B465-FE16-4E77-ABE4-93D9F9C89058}" destId="{ABDEAED7-BFD0-47BC-AB0C-7CF1113AA36F}" srcOrd="0" destOrd="0" parTransId="{62EEA2F6-2334-45BD-9F5C-2E6478A436BE}" sibTransId="{8D28FE54-57BD-4D67-9523-CDB08FA8C67A}"/>
    <dgm:cxn modelId="{BE513F44-BC33-4585-95A8-2C7B40F40189}" type="presOf" srcId="{2D0AEDD9-1BD2-42E0-A5F7-E10E1300E083}" destId="{44A701E9-7CCE-4BA5-80C6-AA7F4F7AE514}" srcOrd="0" destOrd="0" presId="urn:microsoft.com/office/officeart/2005/8/layout/process4"/>
    <dgm:cxn modelId="{B3431E39-AEC0-4DE7-8E3A-3B5BD15BFC66}" type="presOf" srcId="{ABDEAED7-BFD0-47BC-AB0C-7CF1113AA36F}" destId="{CE66864F-C6ED-41D8-BA49-9062A2170B2E}" srcOrd="0" destOrd="0" presId="urn:microsoft.com/office/officeart/2005/8/layout/process4"/>
    <dgm:cxn modelId="{10A1CF6D-5FB6-44FF-9FF0-142CFBF6B816}" srcId="{329CDAD2-DA4A-44F7-AA60-0FA428F43642}" destId="{EBCB8B05-B8F7-47C0-804A-64FE78D809D5}" srcOrd="0" destOrd="0" parTransId="{4D5B02F1-B32C-43F0-A2B7-971127EB9243}" sibTransId="{0223D27C-22F9-48C8-B823-19968CF285E7}"/>
    <dgm:cxn modelId="{C228C4E9-FC86-4D74-8874-D1C9C7B4EAF4}" type="presOf" srcId="{329CDAD2-DA4A-44F7-AA60-0FA428F43642}" destId="{77976B34-32E0-4339-AC2F-ACF5C3477DE2}" srcOrd="1" destOrd="0" presId="urn:microsoft.com/office/officeart/2005/8/layout/process4"/>
    <dgm:cxn modelId="{66A56BB9-35A3-4F99-82A8-A56802C4E515}" type="presParOf" srcId="{EC873CF2-CF40-429D-BCDC-6C5E55B932CF}" destId="{90EDB3E1-58FC-4B1E-B5C5-58F66DE7F49C}" srcOrd="0" destOrd="0" presId="urn:microsoft.com/office/officeart/2005/8/layout/process4"/>
    <dgm:cxn modelId="{25895F1E-76D3-48AC-9A7E-D0D4ECBCAA35}" type="presParOf" srcId="{90EDB3E1-58FC-4B1E-B5C5-58F66DE7F49C}" destId="{0D4350FD-496D-480B-BE53-1AAD7BC4FFF9}" srcOrd="0" destOrd="0" presId="urn:microsoft.com/office/officeart/2005/8/layout/process4"/>
    <dgm:cxn modelId="{26963774-4044-47BC-ACBE-A5B28AE42502}" type="presParOf" srcId="{90EDB3E1-58FC-4B1E-B5C5-58F66DE7F49C}" destId="{CE85D719-9A65-4635-850F-FBE7DA7748AF}" srcOrd="1" destOrd="0" presId="urn:microsoft.com/office/officeart/2005/8/layout/process4"/>
    <dgm:cxn modelId="{EE884116-7443-4726-9DA6-551249D92934}" type="presParOf" srcId="{90EDB3E1-58FC-4B1E-B5C5-58F66DE7F49C}" destId="{3B506954-7696-474E-976A-FF0956D47A78}" srcOrd="2" destOrd="0" presId="urn:microsoft.com/office/officeart/2005/8/layout/process4"/>
    <dgm:cxn modelId="{41FED0DC-D618-457A-A6A0-45ABE1033970}" type="presParOf" srcId="{3B506954-7696-474E-976A-FF0956D47A78}" destId="{316BA0C1-A2F3-4642-AA52-0442BDB21A7C}" srcOrd="0" destOrd="0" presId="urn:microsoft.com/office/officeart/2005/8/layout/process4"/>
    <dgm:cxn modelId="{D1C9D28D-080C-4D03-81A7-3BB9A21CBA4A}" type="presParOf" srcId="{EC873CF2-CF40-429D-BCDC-6C5E55B932CF}" destId="{1B6FA14A-2154-4B66-AF67-F8FBD78C0142}" srcOrd="1" destOrd="0" presId="urn:microsoft.com/office/officeart/2005/8/layout/process4"/>
    <dgm:cxn modelId="{B019BFB4-2336-4C48-815E-F208F286ADBB}" type="presParOf" srcId="{EC873CF2-CF40-429D-BCDC-6C5E55B932CF}" destId="{4AE7534D-539A-4173-86A2-8744F1309EC5}" srcOrd="2" destOrd="0" presId="urn:microsoft.com/office/officeart/2005/8/layout/process4"/>
    <dgm:cxn modelId="{71CCB6C0-73E5-46C1-AEBA-5DBF3E9C1744}" type="presParOf" srcId="{4AE7534D-539A-4173-86A2-8744F1309EC5}" destId="{B93500F5-94B4-4B22-88D1-67836200DFD3}" srcOrd="0" destOrd="0" presId="urn:microsoft.com/office/officeart/2005/8/layout/process4"/>
    <dgm:cxn modelId="{71827F99-3D76-4B12-97CB-9DE82F4DE603}" type="presParOf" srcId="{4AE7534D-539A-4173-86A2-8744F1309EC5}" destId="{77976B34-32E0-4339-AC2F-ACF5C3477DE2}" srcOrd="1" destOrd="0" presId="urn:microsoft.com/office/officeart/2005/8/layout/process4"/>
    <dgm:cxn modelId="{566E6A8F-EB52-4F6D-8DE2-125FC14416CA}" type="presParOf" srcId="{4AE7534D-539A-4173-86A2-8744F1309EC5}" destId="{C50BC06F-D893-46B9-B3E3-AB6D0108075E}" srcOrd="2" destOrd="0" presId="urn:microsoft.com/office/officeart/2005/8/layout/process4"/>
    <dgm:cxn modelId="{9D2B4AE8-25C0-4570-B9F4-F25DD6E53BDE}" type="presParOf" srcId="{C50BC06F-D893-46B9-B3E3-AB6D0108075E}" destId="{3F96E3A4-696F-4C07-A93B-BECEA6485EF9}" srcOrd="0" destOrd="0" presId="urn:microsoft.com/office/officeart/2005/8/layout/process4"/>
    <dgm:cxn modelId="{A8F88D43-48D2-421D-8EFC-379F7D993A52}" type="presParOf" srcId="{EC873CF2-CF40-429D-BCDC-6C5E55B932CF}" destId="{C4ECBF56-113B-47F7-ACCC-521EFF221C72}" srcOrd="3" destOrd="0" presId="urn:microsoft.com/office/officeart/2005/8/layout/process4"/>
    <dgm:cxn modelId="{E90E7A04-FD04-4866-9404-E63BF76A051B}" type="presParOf" srcId="{EC873CF2-CF40-429D-BCDC-6C5E55B932CF}" destId="{23312A1D-7619-4DC6-AC6A-EE00444D8302}" srcOrd="4" destOrd="0" presId="urn:microsoft.com/office/officeart/2005/8/layout/process4"/>
    <dgm:cxn modelId="{8FF56243-DEA6-4143-8E67-296E98565062}" type="presParOf" srcId="{23312A1D-7619-4DC6-AC6A-EE00444D8302}" destId="{CE66864F-C6ED-41D8-BA49-9062A2170B2E}" srcOrd="0" destOrd="0" presId="urn:microsoft.com/office/officeart/2005/8/layout/process4"/>
    <dgm:cxn modelId="{DB597F36-ADCC-4863-A475-8717B47AB741}" type="presParOf" srcId="{23312A1D-7619-4DC6-AC6A-EE00444D8302}" destId="{EEA99F35-0232-4D12-8220-CE5C79DBDB9A}" srcOrd="1" destOrd="0" presId="urn:microsoft.com/office/officeart/2005/8/layout/process4"/>
    <dgm:cxn modelId="{3BE92D55-FFB6-4C63-9927-7FCAD84936DF}" type="presParOf" srcId="{23312A1D-7619-4DC6-AC6A-EE00444D8302}" destId="{5C533511-B7A8-4548-8E56-86A4AB93D6B2}" srcOrd="2" destOrd="0" presId="urn:microsoft.com/office/officeart/2005/8/layout/process4"/>
    <dgm:cxn modelId="{6C3E1E1B-3AA1-4A26-B2AB-54D12A34712C}" type="presParOf" srcId="{5C533511-B7A8-4548-8E56-86A4AB93D6B2}" destId="{44A701E9-7CCE-4BA5-80C6-AA7F4F7AE514}" srcOrd="0"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85D719-9A65-4635-850F-FBE7DA7748AF}">
      <dsp:nvSpPr>
        <dsp:cNvPr id="0" name=""/>
        <dsp:cNvSpPr/>
      </dsp:nvSpPr>
      <dsp:spPr>
        <a:xfrm>
          <a:off x="0" y="1412484"/>
          <a:ext cx="5438774" cy="463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GB" sz="800" kern="1200"/>
            <a:t>Design Assurance Plan</a:t>
          </a:r>
        </a:p>
      </dsp:txBody>
      <dsp:txXfrm>
        <a:off x="0" y="1412484"/>
        <a:ext cx="5438774" cy="250348"/>
      </dsp:txXfrm>
    </dsp:sp>
    <dsp:sp modelId="{316BA0C1-A2F3-4642-AA52-0442BDB21A7C}">
      <dsp:nvSpPr>
        <dsp:cNvPr id="0" name=""/>
        <dsp:cNvSpPr/>
      </dsp:nvSpPr>
      <dsp:spPr>
        <a:xfrm>
          <a:off x="0" y="1653561"/>
          <a:ext cx="5438774" cy="2132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GB" sz="900" kern="1200"/>
            <a:t>Design appropriate assurance processes to mitigate the risk of material misstatement</a:t>
          </a:r>
          <a:r>
            <a:rPr lang="en-GB" sz="1200" kern="1200"/>
            <a:t>.</a:t>
          </a:r>
        </a:p>
      </dsp:txBody>
      <dsp:txXfrm>
        <a:off x="0" y="1653561"/>
        <a:ext cx="5438774" cy="213260"/>
      </dsp:txXfrm>
    </dsp:sp>
    <dsp:sp modelId="{77976B34-32E0-4339-AC2F-ACF5C3477DE2}">
      <dsp:nvSpPr>
        <dsp:cNvPr id="0" name=""/>
        <dsp:cNvSpPr/>
      </dsp:nvSpPr>
      <dsp:spPr>
        <a:xfrm rot="10800000">
          <a:off x="0" y="706408"/>
          <a:ext cx="5438774" cy="71303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GB" sz="800" kern="1200"/>
            <a:t>Risk Assessment</a:t>
          </a:r>
        </a:p>
      </dsp:txBody>
      <dsp:txXfrm rot="-10800000">
        <a:off x="0" y="706408"/>
        <a:ext cx="5438774" cy="250273"/>
      </dsp:txXfrm>
    </dsp:sp>
    <dsp:sp modelId="{3F96E3A4-696F-4C07-A93B-BECEA6485EF9}">
      <dsp:nvSpPr>
        <dsp:cNvPr id="0" name=""/>
        <dsp:cNvSpPr/>
      </dsp:nvSpPr>
      <dsp:spPr>
        <a:xfrm>
          <a:off x="0" y="956681"/>
          <a:ext cx="5438774" cy="21319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GB" sz="900" kern="1200"/>
            <a:t>Assess the risk that the data we report contains errors or is materially misstated.</a:t>
          </a:r>
        </a:p>
      </dsp:txBody>
      <dsp:txXfrm>
        <a:off x="0" y="956681"/>
        <a:ext cx="5438774" cy="213196"/>
      </dsp:txXfrm>
    </dsp:sp>
    <dsp:sp modelId="{EEA99F35-0232-4D12-8220-CE5C79DBDB9A}">
      <dsp:nvSpPr>
        <dsp:cNvPr id="0" name=""/>
        <dsp:cNvSpPr/>
      </dsp:nvSpPr>
      <dsp:spPr>
        <a:xfrm rot="10800000">
          <a:off x="0" y="331"/>
          <a:ext cx="5438774" cy="71303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GB" sz="800" kern="1200"/>
            <a:t>Identify the relevant data</a:t>
          </a:r>
        </a:p>
      </dsp:txBody>
      <dsp:txXfrm rot="-10800000">
        <a:off x="0" y="331"/>
        <a:ext cx="5438774" cy="250273"/>
      </dsp:txXfrm>
    </dsp:sp>
    <dsp:sp modelId="{44A701E9-7CCE-4BA5-80C6-AA7F4F7AE514}">
      <dsp:nvSpPr>
        <dsp:cNvPr id="0" name=""/>
        <dsp:cNvSpPr/>
      </dsp:nvSpPr>
      <dsp:spPr>
        <a:xfrm>
          <a:off x="0" y="250605"/>
          <a:ext cx="5438774" cy="21319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GB" sz="900" kern="1200"/>
            <a:t>Consultation with our stakeholders is an important part of this process.</a:t>
          </a:r>
        </a:p>
      </dsp:txBody>
      <dsp:txXfrm>
        <a:off x="0" y="250605"/>
        <a:ext cx="5438774" cy="21319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B63B2-4C7B-4685-AD6E-3E0BF455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2619</Words>
  <Characters>14930</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Steve</dc:creator>
  <cp:keywords/>
  <dc:description/>
  <cp:lastModifiedBy>Caroline Jemphrey</cp:lastModifiedBy>
  <cp:revision>2</cp:revision>
  <cp:lastPrinted>2018-06-15T09:29:00Z</cp:lastPrinted>
  <dcterms:created xsi:type="dcterms:W3CDTF">2018-07-13T09:02:00Z</dcterms:created>
  <dcterms:modified xsi:type="dcterms:W3CDTF">2018-07-13T09:02:00Z</dcterms:modified>
</cp:coreProperties>
</file>